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038"/>
        </w:tabs>
        <w:adjustRightInd w:val="0"/>
        <w:snapToGrid w:val="0"/>
        <w:spacing w:line="560" w:lineRule="exact"/>
        <w:rPr>
          <w:rFonts w:ascii="黑体" w:hAnsi="黑体" w:eastAsia="黑体" w:cs="方正小标宋简体"/>
          <w:sz w:val="28"/>
          <w:szCs w:val="28"/>
        </w:rPr>
      </w:pPr>
      <w:bookmarkStart w:id="0" w:name="TITLE"/>
      <w:r>
        <w:rPr>
          <w:rFonts w:hint="eastAsia" w:ascii="黑体" w:hAnsi="黑体" w:eastAsia="黑体" w:cs="方正小标宋简体"/>
          <w:sz w:val="28"/>
          <w:szCs w:val="28"/>
        </w:rPr>
        <w:t>区十七届一次人代会</w:t>
      </w:r>
    </w:p>
    <w:p>
      <w:pPr>
        <w:pStyle w:val="2"/>
        <w:tabs>
          <w:tab w:val="left" w:pos="3038"/>
        </w:tabs>
        <w:adjustRightInd w:val="0"/>
        <w:snapToGrid w:val="0"/>
        <w:spacing w:line="560" w:lineRule="exact"/>
        <w:rPr>
          <w:rFonts w:ascii="黑体" w:hAnsi="黑体" w:eastAsia="黑体" w:cs="方正小标宋简体"/>
          <w:sz w:val="28"/>
          <w:szCs w:val="28"/>
        </w:rPr>
      </w:pPr>
      <w:r>
        <w:rPr>
          <w:rFonts w:hint="eastAsia" w:ascii="黑体" w:hAnsi="黑体" w:eastAsia="黑体" w:cs="方正小标宋简体"/>
          <w:sz w:val="28"/>
          <w:szCs w:val="28"/>
        </w:rPr>
        <w:t>会 议 文 件   之七</w:t>
      </w:r>
    </w:p>
    <w:p>
      <w:pPr>
        <w:pStyle w:val="2"/>
        <w:tabs>
          <w:tab w:val="left" w:pos="3038"/>
        </w:tabs>
        <w:adjustRightInd w:val="0"/>
        <w:snapToGrid w:val="0"/>
        <w:spacing w:line="560" w:lineRule="exact"/>
        <w:rPr>
          <w:rFonts w:ascii="黑体" w:hAnsi="黑体" w:eastAsia="黑体" w:cs="方正小标宋简体"/>
          <w:sz w:val="28"/>
          <w:szCs w:val="28"/>
        </w:rPr>
      </w:pPr>
    </w:p>
    <w:p>
      <w:pPr>
        <w:pStyle w:val="2"/>
        <w:tabs>
          <w:tab w:val="left" w:pos="3038"/>
        </w:tabs>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海淀区</w:t>
      </w:r>
      <w:r>
        <w:rPr>
          <w:rFonts w:ascii="方正小标宋简体" w:eastAsia="方正小标宋简体" w:cs="方正小标宋简体"/>
          <w:sz w:val="44"/>
          <w:szCs w:val="44"/>
        </w:rPr>
        <w:t>20</w:t>
      </w:r>
      <w:r>
        <w:rPr>
          <w:rFonts w:hint="eastAsia" w:ascii="方正小标宋简体" w:eastAsia="方正小标宋简体" w:cs="方正小标宋简体"/>
          <w:sz w:val="44"/>
          <w:szCs w:val="44"/>
        </w:rPr>
        <w:t>21</w:t>
      </w:r>
      <w:r>
        <w:rPr>
          <w:rFonts w:ascii="方正小标宋简体" w:eastAsia="方正小标宋简体" w:cs="方正小标宋简体"/>
          <w:sz w:val="44"/>
          <w:szCs w:val="44"/>
        </w:rPr>
        <w:t>年</w:t>
      </w:r>
      <w:r>
        <w:rPr>
          <w:rFonts w:hint="eastAsia" w:ascii="方正小标宋简体" w:eastAsia="方正小标宋简体" w:cs="方正小标宋简体"/>
          <w:sz w:val="44"/>
          <w:szCs w:val="44"/>
        </w:rPr>
        <w:t>预算执行情况和</w:t>
      </w:r>
    </w:p>
    <w:p>
      <w:pPr>
        <w:pStyle w:val="2"/>
        <w:tabs>
          <w:tab w:val="left" w:pos="3038"/>
        </w:tabs>
        <w:adjustRightInd w:val="0"/>
        <w:snapToGrid w:val="0"/>
        <w:spacing w:line="560" w:lineRule="exact"/>
        <w:jc w:val="center"/>
        <w:rPr>
          <w:rFonts w:ascii="方正小标宋简体" w:eastAsia="方正小标宋简体"/>
          <w:sz w:val="44"/>
          <w:szCs w:val="44"/>
        </w:rPr>
      </w:pPr>
      <w:r>
        <w:rPr>
          <w:rFonts w:ascii="方正小标宋简体" w:eastAsia="方正小标宋简体" w:cs="方正小标宋简体"/>
          <w:sz w:val="44"/>
          <w:szCs w:val="44"/>
        </w:rPr>
        <w:t>20</w:t>
      </w:r>
      <w:r>
        <w:rPr>
          <w:rFonts w:hint="eastAsia" w:ascii="方正小标宋简体" w:eastAsia="方正小标宋简体" w:cs="方正小标宋简体"/>
          <w:sz w:val="44"/>
          <w:szCs w:val="44"/>
        </w:rPr>
        <w:t>22</w:t>
      </w:r>
      <w:r>
        <w:rPr>
          <w:rFonts w:ascii="方正小标宋简体" w:eastAsia="方正小标宋简体" w:cs="方正小标宋简体"/>
          <w:sz w:val="44"/>
          <w:szCs w:val="44"/>
        </w:rPr>
        <w:t>年</w:t>
      </w:r>
      <w:r>
        <w:rPr>
          <w:rFonts w:hint="eastAsia" w:ascii="方正小标宋简体" w:eastAsia="方正小标宋简体" w:cs="方正小标宋简体"/>
          <w:sz w:val="44"/>
          <w:szCs w:val="44"/>
        </w:rPr>
        <w:t>预算（草案）的报告</w:t>
      </w:r>
      <w:bookmarkEnd w:id="0"/>
    </w:p>
    <w:p>
      <w:pPr>
        <w:tabs>
          <w:tab w:val="left" w:pos="3038"/>
        </w:tabs>
        <w:spacing w:line="560" w:lineRule="exact"/>
        <w:jc w:val="center"/>
        <w:rPr>
          <w:rFonts w:ascii="楷体_GB2312" w:hAnsi="宋体" w:eastAsia="楷体_GB2312"/>
          <w:sz w:val="30"/>
          <w:szCs w:val="30"/>
        </w:rPr>
      </w:pPr>
    </w:p>
    <w:p>
      <w:pPr>
        <w:tabs>
          <w:tab w:val="left" w:pos="3038"/>
        </w:tabs>
        <w:spacing w:line="560" w:lineRule="exact"/>
        <w:jc w:val="center"/>
        <w:rPr>
          <w:rFonts w:ascii="楷体_GB2312" w:hAnsi="宋体" w:eastAsia="楷体_GB2312"/>
          <w:sz w:val="30"/>
          <w:szCs w:val="30"/>
        </w:rPr>
      </w:pPr>
      <w:r>
        <w:rPr>
          <w:rFonts w:hint="eastAsia" w:ascii="楷体_GB2312" w:hAnsi="黑体" w:eastAsia="楷体_GB2312" w:cs="黑体"/>
          <w:sz w:val="30"/>
          <w:szCs w:val="30"/>
        </w:rPr>
        <w:t>——</w:t>
      </w:r>
      <w:r>
        <w:rPr>
          <w:rFonts w:hint="eastAsia" w:ascii="楷体_GB2312" w:hAnsi="宋体" w:eastAsia="楷体_GB2312"/>
          <w:sz w:val="30"/>
          <w:szCs w:val="30"/>
        </w:rPr>
        <w:t>2021年12月 日在海淀区第十七届人民代表大会</w:t>
      </w:r>
    </w:p>
    <w:p>
      <w:pPr>
        <w:tabs>
          <w:tab w:val="left" w:pos="3038"/>
        </w:tabs>
        <w:spacing w:line="560" w:lineRule="exact"/>
        <w:jc w:val="center"/>
        <w:rPr>
          <w:rFonts w:ascii="楷体_GB2312" w:hAnsi="宋体" w:eastAsia="楷体_GB2312"/>
          <w:sz w:val="30"/>
          <w:szCs w:val="30"/>
        </w:rPr>
      </w:pPr>
      <w:r>
        <w:rPr>
          <w:rFonts w:hint="eastAsia" w:ascii="楷体_GB2312" w:hAnsi="宋体" w:eastAsia="楷体_GB2312"/>
          <w:sz w:val="30"/>
          <w:szCs w:val="30"/>
        </w:rPr>
        <w:t>第一次会议上</w:t>
      </w:r>
    </w:p>
    <w:p>
      <w:pPr>
        <w:tabs>
          <w:tab w:val="left" w:pos="3038"/>
        </w:tabs>
        <w:spacing w:line="560" w:lineRule="exact"/>
        <w:jc w:val="center"/>
        <w:rPr>
          <w:rFonts w:ascii="楷体_GB2312" w:hAnsi="宋体" w:eastAsia="楷体_GB2312"/>
          <w:sz w:val="30"/>
          <w:szCs w:val="30"/>
        </w:rPr>
      </w:pPr>
      <w:r>
        <w:rPr>
          <w:rFonts w:hint="eastAsia" w:ascii="楷体_GB2312" w:hAnsi="宋体" w:eastAsia="楷体_GB2312"/>
          <w:sz w:val="30"/>
          <w:szCs w:val="30"/>
        </w:rPr>
        <w:t>海淀区财政局党组书记、局长  程培衡</w:t>
      </w:r>
    </w:p>
    <w:p>
      <w:pPr>
        <w:tabs>
          <w:tab w:val="left" w:pos="3038"/>
        </w:tabs>
        <w:spacing w:line="560" w:lineRule="exact"/>
        <w:jc w:val="center"/>
        <w:rPr>
          <w:rFonts w:ascii="楷体_GB2312" w:hAnsi="宋体" w:eastAsia="楷体_GB2312"/>
          <w:sz w:val="30"/>
          <w:szCs w:val="30"/>
        </w:rPr>
      </w:pPr>
    </w:p>
    <w:p>
      <w:pPr>
        <w:tabs>
          <w:tab w:val="left" w:pos="3038"/>
        </w:tabs>
        <w:adjustRightInd w:val="0"/>
        <w:spacing w:line="560" w:lineRule="exact"/>
        <w:rPr>
          <w:rFonts w:ascii="仿宋_GB2312" w:eastAsia="仿宋_GB2312"/>
          <w:sz w:val="32"/>
          <w:szCs w:val="32"/>
        </w:rPr>
      </w:pPr>
      <w:r>
        <w:rPr>
          <w:rFonts w:hint="eastAsia" w:ascii="仿宋_GB2312" w:eastAsia="仿宋_GB2312" w:cs="仿宋_GB2312"/>
          <w:sz w:val="32"/>
          <w:szCs w:val="32"/>
        </w:rPr>
        <w:t>各位代表：</w:t>
      </w:r>
    </w:p>
    <w:p>
      <w:pPr>
        <w:tabs>
          <w:tab w:val="left" w:pos="3038"/>
        </w:tabs>
        <w:spacing w:line="560" w:lineRule="exact"/>
        <w:ind w:firstLine="640" w:firstLineChars="200"/>
        <w:rPr>
          <w:rFonts w:ascii="仿宋_GB2312" w:eastAsia="仿宋_GB2312"/>
          <w:snapToGrid w:val="0"/>
          <w:kern w:val="0"/>
          <w:sz w:val="32"/>
          <w:szCs w:val="32"/>
        </w:rPr>
      </w:pPr>
      <w:r>
        <w:rPr>
          <w:rFonts w:hint="eastAsia" w:ascii="仿宋_GB2312" w:eastAsia="仿宋_GB2312" w:cs="仿宋_GB2312"/>
          <w:snapToGrid w:val="0"/>
          <w:kern w:val="0"/>
          <w:sz w:val="32"/>
          <w:szCs w:val="32"/>
        </w:rPr>
        <w:t>受海淀区人民政府委托，我向大会报告</w:t>
      </w:r>
      <w:r>
        <w:rPr>
          <w:rFonts w:ascii="仿宋_GB2312" w:eastAsia="仿宋_GB2312" w:cs="仿宋_GB2312"/>
          <w:snapToGrid w:val="0"/>
          <w:kern w:val="0"/>
          <w:sz w:val="32"/>
          <w:szCs w:val="32"/>
        </w:rPr>
        <w:t>20</w:t>
      </w:r>
      <w:r>
        <w:rPr>
          <w:rFonts w:hint="eastAsia" w:ascii="仿宋_GB2312" w:eastAsia="仿宋_GB2312" w:cs="仿宋_GB2312"/>
          <w:snapToGrid w:val="0"/>
          <w:kern w:val="0"/>
          <w:sz w:val="32"/>
          <w:szCs w:val="32"/>
        </w:rPr>
        <w:t>21</w:t>
      </w:r>
      <w:r>
        <w:rPr>
          <w:rFonts w:ascii="仿宋_GB2312" w:eastAsia="仿宋_GB2312" w:cs="仿宋_GB2312"/>
          <w:snapToGrid w:val="0"/>
          <w:kern w:val="0"/>
          <w:sz w:val="32"/>
          <w:szCs w:val="32"/>
        </w:rPr>
        <w:t>年</w:t>
      </w:r>
      <w:r>
        <w:rPr>
          <w:rFonts w:hint="eastAsia" w:ascii="仿宋_GB2312" w:eastAsia="仿宋_GB2312" w:cs="仿宋_GB2312"/>
          <w:snapToGrid w:val="0"/>
          <w:kern w:val="0"/>
          <w:sz w:val="32"/>
          <w:szCs w:val="32"/>
        </w:rPr>
        <w:t>全区预算执行情况，并提出</w:t>
      </w:r>
      <w:r>
        <w:rPr>
          <w:rFonts w:ascii="仿宋_GB2312" w:eastAsia="仿宋_GB2312" w:cs="仿宋_GB2312"/>
          <w:snapToGrid w:val="0"/>
          <w:kern w:val="0"/>
          <w:sz w:val="32"/>
          <w:szCs w:val="32"/>
        </w:rPr>
        <w:t>20</w:t>
      </w:r>
      <w:r>
        <w:rPr>
          <w:rFonts w:hint="eastAsia" w:ascii="仿宋_GB2312" w:eastAsia="仿宋_GB2312" w:cs="仿宋_GB2312"/>
          <w:snapToGrid w:val="0"/>
          <w:kern w:val="0"/>
          <w:sz w:val="32"/>
          <w:szCs w:val="32"/>
        </w:rPr>
        <w:t>22</w:t>
      </w:r>
      <w:r>
        <w:rPr>
          <w:rFonts w:ascii="仿宋_GB2312" w:eastAsia="仿宋_GB2312" w:cs="仿宋_GB2312"/>
          <w:snapToGrid w:val="0"/>
          <w:kern w:val="0"/>
          <w:sz w:val="32"/>
          <w:szCs w:val="32"/>
        </w:rPr>
        <w:t>年</w:t>
      </w:r>
      <w:r>
        <w:rPr>
          <w:rFonts w:hint="eastAsia" w:ascii="仿宋_GB2312" w:eastAsia="仿宋_GB2312" w:cs="仿宋_GB2312"/>
          <w:snapToGrid w:val="0"/>
          <w:kern w:val="0"/>
          <w:sz w:val="32"/>
          <w:szCs w:val="32"/>
        </w:rPr>
        <w:t>预算（草案），请予审议。</w:t>
      </w:r>
    </w:p>
    <w:p>
      <w:pPr>
        <w:tabs>
          <w:tab w:val="left" w:pos="3038"/>
        </w:tabs>
        <w:snapToGrid w:val="0"/>
        <w:spacing w:line="560" w:lineRule="exact"/>
        <w:ind w:firstLine="640" w:firstLineChars="200"/>
        <w:rPr>
          <w:rFonts w:ascii="仿宋_GB2312" w:eastAsia="仿宋_GB2312"/>
          <w:snapToGrid w:val="0"/>
          <w:kern w:val="0"/>
          <w:sz w:val="32"/>
          <w:szCs w:val="32"/>
        </w:rPr>
      </w:pPr>
    </w:p>
    <w:p>
      <w:pPr>
        <w:tabs>
          <w:tab w:val="left" w:pos="3038"/>
        </w:tabs>
        <w:snapToGrid w:val="0"/>
        <w:spacing w:line="560" w:lineRule="exact"/>
        <w:jc w:val="center"/>
        <w:rPr>
          <w:rFonts w:ascii="黑体" w:eastAsia="黑体"/>
          <w:snapToGrid w:val="0"/>
          <w:kern w:val="0"/>
          <w:sz w:val="36"/>
          <w:szCs w:val="36"/>
        </w:rPr>
      </w:pPr>
      <w:r>
        <w:rPr>
          <w:rFonts w:hint="eastAsia" w:ascii="黑体" w:eastAsia="黑体" w:cs="黑体"/>
          <w:snapToGrid w:val="0"/>
          <w:kern w:val="0"/>
          <w:sz w:val="36"/>
          <w:szCs w:val="36"/>
        </w:rPr>
        <w:t>第一部分</w:t>
      </w:r>
      <w:r>
        <w:rPr>
          <w:rFonts w:ascii="黑体" w:eastAsia="黑体" w:cs="黑体"/>
          <w:snapToGrid w:val="0"/>
          <w:kern w:val="0"/>
          <w:sz w:val="36"/>
          <w:szCs w:val="36"/>
        </w:rPr>
        <w:t xml:space="preserve">  20</w:t>
      </w:r>
      <w:r>
        <w:rPr>
          <w:rFonts w:hint="eastAsia" w:ascii="黑体" w:eastAsia="黑体" w:cs="黑体"/>
          <w:snapToGrid w:val="0"/>
          <w:kern w:val="0"/>
          <w:sz w:val="36"/>
          <w:szCs w:val="36"/>
        </w:rPr>
        <w:t>21</w:t>
      </w:r>
      <w:r>
        <w:rPr>
          <w:rFonts w:ascii="黑体" w:eastAsia="黑体" w:cs="黑体"/>
          <w:snapToGrid w:val="0"/>
          <w:kern w:val="0"/>
          <w:sz w:val="36"/>
          <w:szCs w:val="36"/>
        </w:rPr>
        <w:t>年</w:t>
      </w:r>
      <w:r>
        <w:rPr>
          <w:rFonts w:hint="eastAsia" w:ascii="黑体" w:eastAsia="黑体" w:cs="黑体"/>
          <w:snapToGrid w:val="0"/>
          <w:kern w:val="0"/>
          <w:sz w:val="36"/>
          <w:szCs w:val="36"/>
        </w:rPr>
        <w:t>预算执行情况</w:t>
      </w:r>
    </w:p>
    <w:p>
      <w:pPr>
        <w:tabs>
          <w:tab w:val="left" w:pos="3038"/>
        </w:tabs>
        <w:snapToGrid w:val="0"/>
        <w:spacing w:line="560" w:lineRule="exact"/>
        <w:ind w:firstLine="640" w:firstLineChars="200"/>
        <w:rPr>
          <w:rFonts w:ascii="仿宋_GB2312" w:eastAsia="仿宋_GB2312"/>
          <w:snapToGrid w:val="0"/>
          <w:kern w:val="0"/>
          <w:sz w:val="32"/>
          <w:szCs w:val="32"/>
          <w:highlight w:val="yellow"/>
        </w:rPr>
      </w:pPr>
    </w:p>
    <w:p>
      <w:pPr>
        <w:tabs>
          <w:tab w:val="left" w:pos="3038"/>
        </w:tabs>
        <w:spacing w:line="560" w:lineRule="exact"/>
        <w:ind w:firstLine="640" w:firstLineChars="2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2021年是实施“十四五”规划、全面建设社会主义现代化国家新征程的开局之年。面对国内外复杂经济环境和常态化疫情防控要求，我们坚持以习近平新时代中国特色社会主义思想为指导，</w:t>
      </w:r>
      <w:r>
        <w:rPr>
          <w:rFonts w:hint="eastAsia" w:ascii="仿宋_GB2312" w:hAnsi="宋体" w:eastAsia="仿宋_GB2312"/>
          <w:sz w:val="32"/>
          <w:szCs w:val="32"/>
        </w:rPr>
        <w:t>全面贯彻党的十九大、十九届历次全会及中央经济工作会议精神，</w:t>
      </w:r>
      <w:r>
        <w:rPr>
          <w:rFonts w:hint="eastAsia" w:ascii="仿宋_GB2312" w:eastAsia="仿宋_GB2312" w:cs="仿宋_GB2312"/>
          <w:snapToGrid w:val="0"/>
          <w:kern w:val="0"/>
          <w:sz w:val="32"/>
          <w:szCs w:val="32"/>
        </w:rPr>
        <w:t>坚持稳中求进工作总基调，立足新发展阶段，完整、准确、全面贯彻新发展理念，构建新发展格局，统筹发展和安全，做好“六稳”“六保”工作，推动全区经济持续恢复、稳中向好，确保“十四五”开好局、起好步。</w:t>
      </w:r>
    </w:p>
    <w:p>
      <w:pPr>
        <w:tabs>
          <w:tab w:val="left" w:pos="3038"/>
        </w:tabs>
        <w:adjustRightInd w:val="0"/>
        <w:snapToGrid w:val="0"/>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一、2021年财政预算总体执行情况</w:t>
      </w:r>
    </w:p>
    <w:p>
      <w:pP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（一）2021年三本预算执行情况</w:t>
      </w:r>
    </w:p>
    <w:p>
      <w:pPr>
        <w:tabs>
          <w:tab w:val="left" w:pos="3038"/>
        </w:tabs>
        <w:adjustRightInd w:val="0"/>
        <w:snapToGrid w:val="0"/>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1.</w:t>
      </w:r>
      <w:r>
        <w:rPr>
          <w:rFonts w:ascii="楷体_GB2312" w:eastAsia="楷体_GB2312" w:cs="楷体_GB2312"/>
          <w:b/>
          <w:bCs/>
          <w:sz w:val="32"/>
          <w:szCs w:val="32"/>
        </w:rPr>
        <w:t>20</w:t>
      </w:r>
      <w:r>
        <w:rPr>
          <w:rFonts w:hint="eastAsia" w:ascii="楷体_GB2312" w:eastAsia="楷体_GB2312" w:cs="楷体_GB2312"/>
          <w:b/>
          <w:bCs/>
          <w:sz w:val="32"/>
          <w:szCs w:val="32"/>
        </w:rPr>
        <w:t>21</w:t>
      </w:r>
      <w:r>
        <w:rPr>
          <w:rFonts w:ascii="楷体_GB2312" w:eastAsia="楷体_GB2312" w:cs="楷体_GB2312"/>
          <w:b/>
          <w:bCs/>
          <w:sz w:val="32"/>
          <w:szCs w:val="32"/>
        </w:rPr>
        <w:t>年</w:t>
      </w:r>
      <w:r>
        <w:rPr>
          <w:rFonts w:hint="eastAsia" w:ascii="楷体_GB2312" w:eastAsia="楷体_GB2312" w:cs="楷体_GB2312"/>
          <w:b/>
          <w:bCs/>
          <w:sz w:val="32"/>
          <w:szCs w:val="32"/>
        </w:rPr>
        <w:t>一般公共预算执行情况</w:t>
      </w:r>
    </w:p>
    <w:p>
      <w:pPr>
        <w:tabs>
          <w:tab w:val="left" w:pos="3038"/>
        </w:tabs>
        <w:spacing w:line="560" w:lineRule="exact"/>
        <w:ind w:firstLine="640" w:firstLineChars="200"/>
        <w:rPr>
          <w:rFonts w:ascii="仿宋_GB2312" w:eastAsia="仿宋_GB2312" w:cs="仿宋_GB2312"/>
          <w:snapToGrid w:val="0"/>
          <w:sz w:val="32"/>
          <w:szCs w:val="32"/>
          <w:highlight w:val="yellow"/>
        </w:rPr>
      </w:pPr>
      <w:r>
        <w:rPr>
          <w:rFonts w:ascii="仿宋_GB2312" w:eastAsia="仿宋_GB2312" w:cs="仿宋_GB2312"/>
          <w:snapToGrid w:val="0"/>
          <w:sz w:val="32"/>
          <w:szCs w:val="32"/>
        </w:rPr>
        <w:t>20</w:t>
      </w:r>
      <w:r>
        <w:rPr>
          <w:rFonts w:hint="eastAsia" w:ascii="仿宋_GB2312" w:eastAsia="仿宋_GB2312" w:cs="仿宋_GB2312"/>
          <w:snapToGrid w:val="0"/>
          <w:sz w:val="32"/>
          <w:szCs w:val="32"/>
        </w:rPr>
        <w:t>21</w:t>
      </w:r>
      <w:r>
        <w:rPr>
          <w:rFonts w:ascii="仿宋_GB2312" w:eastAsia="仿宋_GB2312" w:cs="仿宋_GB2312"/>
          <w:snapToGrid w:val="0"/>
          <w:sz w:val="32"/>
          <w:szCs w:val="32"/>
        </w:rPr>
        <w:t>年</w:t>
      </w:r>
      <w:r>
        <w:rPr>
          <w:rFonts w:hint="eastAsia" w:ascii="仿宋_GB2312" w:eastAsia="仿宋_GB2312" w:cs="仿宋_GB2312"/>
          <w:snapToGrid w:val="0"/>
          <w:sz w:val="32"/>
          <w:szCs w:val="32"/>
        </w:rPr>
        <w:t>全区一般公共预算收入预计为694.3亿元，完成调整预算的105.9%。其中：区级一般公共预算收入490.2亿元，完成调整预算的104.9%，同比增长8.0</w:t>
      </w:r>
      <w:r>
        <w:rPr>
          <w:rFonts w:ascii="仿宋_GB2312" w:eastAsia="仿宋_GB2312" w:cs="仿宋_GB2312"/>
          <w:snapToGrid w:val="0"/>
          <w:sz w:val="32"/>
          <w:szCs w:val="32"/>
        </w:rPr>
        <w:t>%</w:t>
      </w:r>
      <w:r>
        <w:rPr>
          <w:rFonts w:hint="eastAsia" w:ascii="仿宋_GB2312" w:eastAsia="仿宋_GB2312" w:cs="仿宋_GB2312"/>
          <w:snapToGrid w:val="0"/>
          <w:sz w:val="32"/>
          <w:szCs w:val="32"/>
        </w:rPr>
        <w:t>；市转移支付收入147.0亿元</w:t>
      </w:r>
      <w:r>
        <w:rPr>
          <w:rStyle w:val="14"/>
          <w:rFonts w:ascii="仿宋_GB2312" w:eastAsia="仿宋_GB2312"/>
          <w:snapToGrid w:val="0"/>
          <w:sz w:val="32"/>
          <w:szCs w:val="32"/>
        </w:rPr>
        <w:footnoteReference w:id="0"/>
      </w:r>
      <w:r>
        <w:rPr>
          <w:rFonts w:hint="eastAsia" w:ascii="仿宋_GB2312" w:eastAsia="仿宋_GB2312" w:cs="仿宋_GB2312"/>
          <w:snapToGrid w:val="0"/>
          <w:sz w:val="32"/>
          <w:szCs w:val="32"/>
        </w:rPr>
        <w:t>；从国有资本经营预算等调入资金1.6亿元</w:t>
      </w:r>
      <w:r>
        <w:rPr>
          <w:rStyle w:val="14"/>
          <w:rFonts w:ascii="仿宋_GB2312" w:eastAsia="仿宋_GB2312" w:cs="仿宋_GB2312"/>
          <w:snapToGrid w:val="0"/>
          <w:sz w:val="32"/>
          <w:szCs w:val="32"/>
        </w:rPr>
        <w:footnoteReference w:id="1"/>
      </w:r>
      <w:r>
        <w:rPr>
          <w:rFonts w:hint="eastAsia" w:ascii="仿宋_GB2312" w:eastAsia="仿宋_GB2312" w:cs="仿宋_GB2312"/>
          <w:snapToGrid w:val="0"/>
          <w:sz w:val="32"/>
          <w:szCs w:val="32"/>
        </w:rPr>
        <w:t>；从预算稳定调节基金调入资金6.9亿元；新增地方政府一般债券18.8亿元；新增地方政府再融资债券19.0亿元；上年专项结转资金10.8亿元。</w:t>
      </w:r>
    </w:p>
    <w:p>
      <w:pPr>
        <w:tabs>
          <w:tab w:val="left" w:pos="3038"/>
        </w:tabs>
        <w:spacing w:line="560" w:lineRule="exact"/>
        <w:ind w:firstLine="640" w:firstLineChars="200"/>
        <w:rPr>
          <w:rFonts w:ascii="仿宋_GB2312" w:eastAsia="仿宋_GB2312" w:cs="仿宋_GB2312"/>
          <w:snapToGrid w:val="0"/>
          <w:sz w:val="32"/>
          <w:szCs w:val="32"/>
        </w:rPr>
      </w:pPr>
      <w:r>
        <w:rPr>
          <w:rFonts w:hint="eastAsia" w:ascii="仿宋_GB2312" w:eastAsia="仿宋_GB2312" w:cs="仿宋_GB2312"/>
          <w:snapToGrid w:val="0"/>
          <w:sz w:val="32"/>
          <w:szCs w:val="32"/>
        </w:rPr>
        <w:t>全区一般公共预算支出预计为694.3亿元，完成调整预算的105.9%。其中：区本级支出596.4亿元</w:t>
      </w:r>
      <w:r>
        <w:rPr>
          <w:rStyle w:val="14"/>
          <w:rFonts w:ascii="仿宋_GB2312" w:eastAsia="仿宋_GB2312" w:cs="仿宋_GB2312"/>
          <w:snapToGrid w:val="0"/>
          <w:sz w:val="32"/>
          <w:szCs w:val="32"/>
        </w:rPr>
        <w:footnoteReference w:id="2"/>
      </w:r>
      <w:r>
        <w:rPr>
          <w:rFonts w:hint="eastAsia" w:ascii="仿宋_GB2312" w:eastAsia="仿宋_GB2312" w:cs="仿宋_GB2312"/>
          <w:snapToGrid w:val="0"/>
          <w:sz w:val="32"/>
          <w:szCs w:val="32"/>
        </w:rPr>
        <w:t>，完成调整预算的101.3%；上解市</w:t>
      </w:r>
      <w:r>
        <w:rPr>
          <w:rFonts w:hint="eastAsia" w:ascii="仿宋_GB2312" w:eastAsia="仿宋_GB2312" w:cs="仿宋_GB2312"/>
          <w:sz w:val="32"/>
          <w:szCs w:val="32"/>
        </w:rPr>
        <w:t>级支出45.9亿元</w:t>
      </w:r>
      <w:r>
        <w:rPr>
          <w:rFonts w:hint="eastAsia" w:ascii="仿宋_GB2312" w:eastAsia="仿宋_GB2312"/>
          <w:sz w:val="32"/>
          <w:szCs w:val="32"/>
        </w:rPr>
        <w:t>；</w:t>
      </w:r>
      <w:r>
        <w:rPr>
          <w:rFonts w:hint="eastAsia" w:ascii="仿宋_GB2312" w:eastAsia="仿宋_GB2312" w:cs="仿宋_GB2312"/>
          <w:sz w:val="32"/>
          <w:szCs w:val="32"/>
        </w:rPr>
        <w:t>补助下级支出23.1亿元</w:t>
      </w:r>
      <w:r>
        <w:rPr>
          <w:rFonts w:hint="eastAsia" w:ascii="仿宋_GB2312" w:eastAsia="仿宋_GB2312" w:cs="仿宋_GB2312"/>
          <w:snapToGrid w:val="0"/>
          <w:sz w:val="32"/>
          <w:szCs w:val="32"/>
        </w:rPr>
        <w:t>；将一般公共预算的超收收入22.7亿元补充预算稳定调节基金;结转下年继续使用的专项资金6.2亿元</w:t>
      </w:r>
      <w:r>
        <w:rPr>
          <w:rFonts w:hint="eastAsia" w:ascii="仿宋_GB2312" w:eastAsia="仿宋_GB2312" w:cs="仿宋_GB2312"/>
          <w:sz w:val="32"/>
          <w:szCs w:val="32"/>
        </w:rPr>
        <w:t>，</w:t>
      </w:r>
      <w:r>
        <w:rPr>
          <w:rFonts w:hint="eastAsia" w:ascii="仿宋_GB2312" w:eastAsia="仿宋_GB2312"/>
          <w:sz w:val="32"/>
          <w:szCs w:val="32"/>
        </w:rPr>
        <w:t>占区级一般公共预算支出的1.0%</w:t>
      </w:r>
      <w:r>
        <w:rPr>
          <w:rStyle w:val="14"/>
          <w:rFonts w:ascii="仿宋_GB2312" w:eastAsia="仿宋_GB2312"/>
          <w:sz w:val="32"/>
          <w:szCs w:val="32"/>
        </w:rPr>
        <w:footnoteReference w:id="3"/>
      </w:r>
      <w:r>
        <w:rPr>
          <w:rFonts w:hint="eastAsia" w:ascii="仿宋_GB2312" w:eastAsia="仿宋_GB2312"/>
          <w:sz w:val="32"/>
          <w:szCs w:val="32"/>
        </w:rPr>
        <w:t>。</w:t>
      </w:r>
      <w:r>
        <w:rPr>
          <w:rFonts w:hint="eastAsia" w:ascii="仿宋_GB2312" w:eastAsia="仿宋_GB2312" w:cs="仿宋_GB2312"/>
          <w:snapToGrid w:val="0"/>
          <w:sz w:val="32"/>
          <w:szCs w:val="32"/>
        </w:rPr>
        <w:t>一般公共预算收支平衡。</w:t>
      </w:r>
    </w:p>
    <w:p>
      <w:pPr>
        <w:tabs>
          <w:tab w:val="left" w:pos="3038"/>
        </w:tabs>
        <w:spacing w:line="560" w:lineRule="exact"/>
        <w:ind w:firstLine="640" w:firstLineChars="200"/>
        <w:rPr>
          <w:rFonts w:ascii="仿宋_GB2312" w:eastAsia="仿宋_GB2312" w:cs="仿宋_GB2312"/>
          <w:snapToGrid w:val="0"/>
          <w:sz w:val="32"/>
          <w:szCs w:val="32"/>
        </w:rPr>
      </w:pPr>
    </w:p>
    <w:p>
      <w:pPr>
        <w:tabs>
          <w:tab w:val="left" w:pos="3038"/>
        </w:tabs>
        <w:adjustRightInd w:val="0"/>
        <w:snapToGrid w:val="0"/>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2.</w:t>
      </w:r>
      <w:r>
        <w:rPr>
          <w:rFonts w:ascii="楷体_GB2312" w:eastAsia="楷体_GB2312" w:cs="楷体_GB2312"/>
          <w:b/>
          <w:bCs/>
          <w:sz w:val="32"/>
          <w:szCs w:val="32"/>
        </w:rPr>
        <w:t>20</w:t>
      </w:r>
      <w:r>
        <w:rPr>
          <w:rFonts w:hint="eastAsia" w:ascii="楷体_GB2312" w:eastAsia="楷体_GB2312" w:cs="楷体_GB2312"/>
          <w:b/>
          <w:bCs/>
          <w:sz w:val="32"/>
          <w:szCs w:val="32"/>
        </w:rPr>
        <w:t>21</w:t>
      </w:r>
      <w:r>
        <w:rPr>
          <w:rFonts w:ascii="楷体_GB2312" w:eastAsia="楷体_GB2312" w:cs="楷体_GB2312"/>
          <w:b/>
          <w:bCs/>
          <w:sz w:val="32"/>
          <w:szCs w:val="32"/>
        </w:rPr>
        <w:t>年</w:t>
      </w:r>
      <w:r>
        <w:rPr>
          <w:rFonts w:hint="eastAsia" w:ascii="楷体_GB2312" w:eastAsia="楷体_GB2312" w:cs="楷体_GB2312"/>
          <w:b/>
          <w:bCs/>
          <w:sz w:val="32"/>
          <w:szCs w:val="32"/>
        </w:rPr>
        <w:t>政府性基金预算执行情况</w:t>
      </w:r>
    </w:p>
    <w:p>
      <w:pPr>
        <w:tabs>
          <w:tab w:val="left" w:pos="3038"/>
        </w:tabs>
        <w:adjustRightInd w:val="0"/>
        <w:spacing w:line="560" w:lineRule="exact"/>
        <w:ind w:firstLine="640" w:firstLineChars="200"/>
        <w:rPr>
          <w:rFonts w:ascii="仿宋_GB2312" w:eastAsia="仿宋_GB2312" w:cs="仿宋_GB2312"/>
          <w:sz w:val="32"/>
          <w:szCs w:val="32"/>
          <w:highlight w:val="yellow"/>
        </w:rPr>
      </w:pPr>
      <w:r>
        <w:rPr>
          <w:rFonts w:hint="eastAsia" w:ascii="仿宋_GB2312" w:eastAsia="仿宋_GB2312" w:cs="仿宋_GB2312"/>
          <w:sz w:val="32"/>
          <w:szCs w:val="32"/>
        </w:rPr>
        <w:t>2021年全区政府性基金预算收入预计</w:t>
      </w:r>
      <w:r>
        <w:rPr>
          <w:rFonts w:hint="eastAsia" w:ascii="仿宋_GB2312" w:eastAsia="仿宋_GB2312" w:cs="仿宋_GB2312"/>
          <w:snapToGrid w:val="0"/>
          <w:sz w:val="32"/>
          <w:szCs w:val="32"/>
        </w:rPr>
        <w:t>为</w:t>
      </w:r>
      <w:r>
        <w:rPr>
          <w:rFonts w:hint="eastAsia" w:ascii="仿宋_GB2312" w:eastAsia="仿宋_GB2312" w:cs="仿宋_GB2312"/>
          <w:sz w:val="32"/>
          <w:szCs w:val="32"/>
        </w:rPr>
        <w:t>548.1亿元</w:t>
      </w:r>
      <w:r>
        <w:rPr>
          <w:rFonts w:hint="eastAsia" w:ascii="仿宋_GB2312" w:eastAsia="仿宋_GB2312" w:cs="仿宋_GB2312"/>
          <w:snapToGrid w:val="0"/>
          <w:sz w:val="32"/>
          <w:szCs w:val="32"/>
        </w:rPr>
        <w:t>，完成调整预算的</w:t>
      </w:r>
      <w:r>
        <w:rPr>
          <w:rFonts w:ascii="仿宋_GB2312" w:eastAsia="仿宋_GB2312" w:cs="仿宋_GB2312"/>
          <w:snapToGrid w:val="0"/>
          <w:sz w:val="32"/>
          <w:szCs w:val="32"/>
        </w:rPr>
        <w:t>1</w:t>
      </w:r>
      <w:r>
        <w:rPr>
          <w:rFonts w:hint="eastAsia" w:ascii="仿宋_GB2312" w:eastAsia="仿宋_GB2312" w:cs="仿宋_GB2312"/>
          <w:snapToGrid w:val="0"/>
          <w:sz w:val="32"/>
          <w:szCs w:val="32"/>
        </w:rPr>
        <w:t>42.1</w:t>
      </w:r>
      <w:r>
        <w:rPr>
          <w:rFonts w:ascii="仿宋_GB2312" w:eastAsia="仿宋_GB2312" w:cs="仿宋_GB2312"/>
          <w:snapToGrid w:val="0"/>
          <w:sz w:val="32"/>
          <w:szCs w:val="32"/>
        </w:rPr>
        <w:t>%</w:t>
      </w:r>
      <w:r>
        <w:rPr>
          <w:rFonts w:hint="eastAsia" w:ascii="仿宋_GB2312" w:eastAsia="仿宋_GB2312" w:cs="仿宋_GB2312"/>
          <w:sz w:val="32"/>
          <w:szCs w:val="32"/>
        </w:rPr>
        <w:t>。其中：</w:t>
      </w:r>
      <w:r>
        <w:rPr>
          <w:rFonts w:hint="eastAsia" w:ascii="仿宋_GB2312" w:eastAsia="仿宋_GB2312" w:cs="仿宋_GB2312"/>
          <w:snapToGrid w:val="0"/>
          <w:kern w:val="0"/>
          <w:sz w:val="32"/>
          <w:szCs w:val="32"/>
        </w:rPr>
        <w:t>政府性基金收入359.0亿元，</w:t>
      </w:r>
      <w:r>
        <w:rPr>
          <w:rFonts w:hint="eastAsia" w:ascii="仿宋_GB2312" w:eastAsia="仿宋_GB2312" w:cs="仿宋_GB2312"/>
          <w:snapToGrid w:val="0"/>
          <w:sz w:val="32"/>
          <w:szCs w:val="32"/>
        </w:rPr>
        <w:t>完成调整预算的</w:t>
      </w:r>
      <w:r>
        <w:rPr>
          <w:rFonts w:ascii="仿宋_GB2312" w:eastAsia="仿宋_GB2312" w:cs="仿宋_GB2312"/>
          <w:snapToGrid w:val="0"/>
          <w:sz w:val="32"/>
          <w:szCs w:val="32"/>
        </w:rPr>
        <w:t>1</w:t>
      </w:r>
      <w:r>
        <w:rPr>
          <w:rFonts w:hint="eastAsia" w:ascii="仿宋_GB2312" w:eastAsia="仿宋_GB2312" w:cs="仿宋_GB2312"/>
          <w:snapToGrid w:val="0"/>
          <w:sz w:val="32"/>
          <w:szCs w:val="32"/>
        </w:rPr>
        <w:t>7</w:t>
      </w:r>
      <w:r>
        <w:rPr>
          <w:rFonts w:ascii="仿宋_GB2312" w:eastAsia="仿宋_GB2312" w:cs="仿宋_GB2312"/>
          <w:snapToGrid w:val="0"/>
          <w:sz w:val="32"/>
          <w:szCs w:val="32"/>
        </w:rPr>
        <w:t>9.5%</w:t>
      </w:r>
      <w:r>
        <w:rPr>
          <w:rStyle w:val="14"/>
          <w:rFonts w:ascii="仿宋_GB2312" w:eastAsia="仿宋_GB2312" w:cs="仿宋_GB2312"/>
          <w:snapToGrid w:val="0"/>
          <w:sz w:val="32"/>
          <w:szCs w:val="32"/>
        </w:rPr>
        <w:footnoteReference w:id="4"/>
      </w:r>
      <w:r>
        <w:rPr>
          <w:rFonts w:hint="eastAsia" w:ascii="仿宋_GB2312" w:eastAsia="仿宋_GB2312" w:cs="仿宋_GB2312"/>
          <w:snapToGrid w:val="0"/>
          <w:kern w:val="0"/>
          <w:sz w:val="32"/>
          <w:szCs w:val="32"/>
        </w:rPr>
        <w:t>；市专项转移</w:t>
      </w:r>
      <w:r>
        <w:rPr>
          <w:rFonts w:hint="eastAsia" w:ascii="仿宋_GB2312" w:eastAsia="仿宋_GB2312" w:cs="仿宋_GB2312"/>
          <w:snapToGrid w:val="0"/>
          <w:sz w:val="32"/>
          <w:szCs w:val="32"/>
        </w:rPr>
        <w:t>支付</w:t>
      </w:r>
      <w:r>
        <w:rPr>
          <w:rFonts w:hint="eastAsia" w:ascii="仿宋_GB2312" w:eastAsia="仿宋_GB2312" w:cs="仿宋_GB2312"/>
          <w:snapToGrid w:val="0"/>
          <w:kern w:val="0"/>
          <w:sz w:val="32"/>
          <w:szCs w:val="32"/>
        </w:rPr>
        <w:t>收入4.8亿元</w:t>
      </w:r>
      <w:r>
        <w:rPr>
          <w:rFonts w:hint="eastAsia" w:ascii="仿宋_GB2312" w:eastAsia="仿宋_GB2312" w:cs="仿宋_GB2312"/>
          <w:sz w:val="32"/>
          <w:szCs w:val="32"/>
        </w:rPr>
        <w:t>；</w:t>
      </w:r>
      <w:r>
        <w:rPr>
          <w:rFonts w:hint="eastAsia" w:ascii="仿宋_GB2312" w:eastAsia="仿宋_GB2312" w:cs="仿宋_GB2312"/>
          <w:snapToGrid w:val="0"/>
          <w:kern w:val="0"/>
          <w:sz w:val="32"/>
          <w:szCs w:val="32"/>
        </w:rPr>
        <w:t>新增地方政府专项债券收入184.3亿元。</w:t>
      </w:r>
    </w:p>
    <w:p>
      <w:pPr>
        <w:tabs>
          <w:tab w:val="left" w:pos="3038"/>
        </w:tabs>
        <w:adjustRightInd w:val="0"/>
        <w:spacing w:line="560" w:lineRule="exact"/>
        <w:ind w:firstLine="640" w:firstLineChars="200"/>
        <w:rPr>
          <w:rFonts w:ascii="仿宋_GB2312" w:eastAsia="仿宋_GB2312"/>
          <w:snapToGrid w:val="0"/>
          <w:sz w:val="32"/>
          <w:szCs w:val="32"/>
          <w:highlight w:val="yellow"/>
        </w:rPr>
      </w:pPr>
      <w:r>
        <w:rPr>
          <w:rFonts w:hint="eastAsia" w:ascii="仿宋_GB2312" w:eastAsia="仿宋_GB2312" w:cs="仿宋_GB2312"/>
          <w:sz w:val="32"/>
          <w:szCs w:val="32"/>
        </w:rPr>
        <w:t>全区政府性基金预算支出预计</w:t>
      </w:r>
      <w:r>
        <w:rPr>
          <w:rFonts w:hint="eastAsia" w:ascii="仿宋_GB2312" w:eastAsia="仿宋_GB2312" w:cs="仿宋_GB2312"/>
          <w:snapToGrid w:val="0"/>
          <w:sz w:val="32"/>
          <w:szCs w:val="32"/>
        </w:rPr>
        <w:t>为</w:t>
      </w:r>
      <w:r>
        <w:rPr>
          <w:rFonts w:hint="eastAsia" w:ascii="仿宋_GB2312" w:eastAsia="仿宋_GB2312" w:cs="仿宋_GB2312"/>
          <w:sz w:val="32"/>
          <w:szCs w:val="32"/>
        </w:rPr>
        <w:t>548.1亿元</w:t>
      </w:r>
      <w:r>
        <w:rPr>
          <w:rFonts w:hint="eastAsia" w:ascii="仿宋_GB2312" w:eastAsia="仿宋_GB2312" w:cs="仿宋_GB2312"/>
          <w:snapToGrid w:val="0"/>
          <w:sz w:val="32"/>
          <w:szCs w:val="32"/>
        </w:rPr>
        <w:t>，完成调整预算的</w:t>
      </w:r>
      <w:r>
        <w:rPr>
          <w:rFonts w:ascii="仿宋_GB2312" w:eastAsia="仿宋_GB2312" w:cs="仿宋_GB2312"/>
          <w:snapToGrid w:val="0"/>
          <w:sz w:val="32"/>
          <w:szCs w:val="32"/>
        </w:rPr>
        <w:t>1</w:t>
      </w:r>
      <w:r>
        <w:rPr>
          <w:rFonts w:hint="eastAsia" w:ascii="仿宋_GB2312" w:eastAsia="仿宋_GB2312" w:cs="仿宋_GB2312"/>
          <w:snapToGrid w:val="0"/>
          <w:sz w:val="32"/>
          <w:szCs w:val="32"/>
        </w:rPr>
        <w:t>42.1</w:t>
      </w:r>
      <w:r>
        <w:rPr>
          <w:rFonts w:ascii="仿宋_GB2312" w:eastAsia="仿宋_GB2312" w:cs="仿宋_GB2312"/>
          <w:snapToGrid w:val="0"/>
          <w:sz w:val="32"/>
          <w:szCs w:val="32"/>
        </w:rPr>
        <w:t>%</w:t>
      </w:r>
      <w:r>
        <w:rPr>
          <w:rFonts w:hint="eastAsia" w:ascii="仿宋_GB2312" w:eastAsia="仿宋_GB2312"/>
          <w:sz w:val="32"/>
          <w:szCs w:val="32"/>
        </w:rPr>
        <w:t>。其中：</w:t>
      </w:r>
      <w:r>
        <w:rPr>
          <w:rFonts w:hint="eastAsia" w:ascii="仿宋_GB2312" w:eastAsia="仿宋_GB2312" w:cs="仿宋_GB2312"/>
          <w:sz w:val="32"/>
          <w:szCs w:val="32"/>
        </w:rPr>
        <w:t>区本级支出545.5亿元，</w:t>
      </w:r>
      <w:r>
        <w:rPr>
          <w:rFonts w:hint="eastAsia" w:ascii="仿宋_GB2312" w:eastAsia="仿宋_GB2312" w:cs="仿宋_GB2312"/>
          <w:snapToGrid w:val="0"/>
          <w:sz w:val="32"/>
          <w:szCs w:val="32"/>
        </w:rPr>
        <w:t>完成调整预算的</w:t>
      </w:r>
      <w:r>
        <w:rPr>
          <w:rFonts w:ascii="仿宋_GB2312" w:eastAsia="仿宋_GB2312" w:cs="仿宋_GB2312"/>
          <w:snapToGrid w:val="0"/>
          <w:sz w:val="32"/>
          <w:szCs w:val="32"/>
        </w:rPr>
        <w:t>1</w:t>
      </w:r>
      <w:r>
        <w:rPr>
          <w:rFonts w:hint="eastAsia" w:ascii="仿宋_GB2312" w:eastAsia="仿宋_GB2312" w:cs="仿宋_GB2312"/>
          <w:snapToGrid w:val="0"/>
          <w:sz w:val="32"/>
          <w:szCs w:val="32"/>
        </w:rPr>
        <w:t>42.4%</w:t>
      </w:r>
      <w:r>
        <w:rPr>
          <w:rFonts w:hint="eastAsia" w:ascii="仿宋_GB2312" w:eastAsia="仿宋_GB2312" w:cs="仿宋_GB2312"/>
          <w:sz w:val="32"/>
          <w:szCs w:val="32"/>
        </w:rPr>
        <w:t>；上解市级支出2.6亿元</w:t>
      </w:r>
      <w:r>
        <w:rPr>
          <w:rStyle w:val="14"/>
          <w:rFonts w:ascii="仿宋_GB2312" w:eastAsia="仿宋_GB2312" w:cs="仿宋_GB2312"/>
          <w:sz w:val="32"/>
          <w:szCs w:val="32"/>
        </w:rPr>
        <w:footnoteReference w:id="5"/>
      </w:r>
      <w:r>
        <w:rPr>
          <w:rFonts w:hint="eastAsia" w:ascii="仿宋_GB2312" w:eastAsia="仿宋_GB2312" w:cs="仿宋_GB2312"/>
          <w:sz w:val="32"/>
          <w:szCs w:val="32"/>
        </w:rPr>
        <w:t>。</w:t>
      </w:r>
      <w:r>
        <w:rPr>
          <w:rFonts w:hint="eastAsia" w:ascii="仿宋_GB2312" w:eastAsia="仿宋_GB2312" w:cs="仿宋_GB2312"/>
          <w:snapToGrid w:val="0"/>
          <w:sz w:val="32"/>
          <w:szCs w:val="32"/>
        </w:rPr>
        <w:t>政府性基金预算收支平衡。</w:t>
      </w:r>
    </w:p>
    <w:p>
      <w:pPr>
        <w:tabs>
          <w:tab w:val="left" w:pos="3038"/>
        </w:tabs>
        <w:adjustRightInd w:val="0"/>
        <w:snapToGrid w:val="0"/>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3.</w:t>
      </w:r>
      <w:r>
        <w:rPr>
          <w:rFonts w:ascii="楷体_GB2312" w:eastAsia="楷体_GB2312" w:cs="楷体_GB2312"/>
          <w:b/>
          <w:bCs/>
          <w:sz w:val="32"/>
          <w:szCs w:val="32"/>
        </w:rPr>
        <w:t>20</w:t>
      </w:r>
      <w:r>
        <w:rPr>
          <w:rFonts w:hint="eastAsia" w:ascii="楷体_GB2312" w:eastAsia="楷体_GB2312" w:cs="楷体_GB2312"/>
          <w:b/>
          <w:bCs/>
          <w:sz w:val="32"/>
          <w:szCs w:val="32"/>
        </w:rPr>
        <w:t>21</w:t>
      </w:r>
      <w:r>
        <w:rPr>
          <w:rFonts w:ascii="楷体_GB2312" w:eastAsia="楷体_GB2312" w:cs="楷体_GB2312"/>
          <w:b/>
          <w:bCs/>
          <w:sz w:val="32"/>
          <w:szCs w:val="32"/>
        </w:rPr>
        <w:t>年</w:t>
      </w:r>
      <w:r>
        <w:rPr>
          <w:rFonts w:hint="eastAsia" w:ascii="楷体_GB2312" w:eastAsia="楷体_GB2312" w:cs="楷体_GB2312"/>
          <w:b/>
          <w:bCs/>
          <w:sz w:val="32"/>
          <w:szCs w:val="32"/>
        </w:rPr>
        <w:t>国有资本经营预算执行情况</w:t>
      </w:r>
    </w:p>
    <w:p>
      <w:pPr>
        <w:tabs>
          <w:tab w:val="left" w:pos="3038"/>
        </w:tabs>
        <w:adjustRightInd w:val="0"/>
        <w:snapToGrid w:val="0"/>
        <w:spacing w:line="560" w:lineRule="exact"/>
        <w:ind w:firstLine="640" w:firstLineChars="200"/>
        <w:rPr>
          <w:rFonts w:ascii="仿宋_GB2312" w:eastAsia="仿宋_GB2312" w:cs="仿宋_GB2312"/>
          <w:sz w:val="32"/>
          <w:szCs w:val="32"/>
          <w:highlight w:val="yellow"/>
        </w:rPr>
      </w:pPr>
      <w:r>
        <w:rPr>
          <w:rFonts w:hint="eastAsia" w:ascii="仿宋_GB2312" w:eastAsia="仿宋_GB2312" w:cs="仿宋_GB2312"/>
          <w:sz w:val="32"/>
          <w:szCs w:val="32"/>
        </w:rPr>
        <w:t>2021年全区国有资本经营预算收入预计</w:t>
      </w:r>
      <w:r>
        <w:rPr>
          <w:rFonts w:hint="eastAsia" w:ascii="仿宋_GB2312" w:eastAsia="仿宋_GB2312" w:cs="仿宋_GB2312"/>
          <w:snapToGrid w:val="0"/>
          <w:sz w:val="32"/>
          <w:szCs w:val="32"/>
        </w:rPr>
        <w:t>为</w:t>
      </w:r>
      <w:r>
        <w:rPr>
          <w:rFonts w:hint="eastAsia" w:ascii="仿宋_GB2312" w:eastAsia="仿宋_GB2312" w:cs="仿宋_GB2312"/>
          <w:sz w:val="32"/>
          <w:szCs w:val="32"/>
        </w:rPr>
        <w:t>5.5亿元</w:t>
      </w:r>
      <w:r>
        <w:rPr>
          <w:rFonts w:hint="eastAsia" w:ascii="仿宋_GB2312" w:eastAsia="仿宋_GB2312" w:cs="仿宋_GB2312"/>
          <w:snapToGrid w:val="0"/>
          <w:sz w:val="32"/>
          <w:szCs w:val="32"/>
        </w:rPr>
        <w:t>，完成年初预算的</w:t>
      </w:r>
      <w:r>
        <w:rPr>
          <w:rFonts w:ascii="仿宋_GB2312" w:eastAsia="仿宋_GB2312" w:cs="仿宋_GB2312"/>
          <w:snapToGrid w:val="0"/>
          <w:sz w:val="32"/>
          <w:szCs w:val="32"/>
        </w:rPr>
        <w:t>3</w:t>
      </w:r>
      <w:r>
        <w:rPr>
          <w:rFonts w:hint="eastAsia" w:ascii="仿宋_GB2312" w:eastAsia="仿宋_GB2312" w:cs="仿宋_GB2312"/>
          <w:snapToGrid w:val="0"/>
          <w:sz w:val="32"/>
          <w:szCs w:val="32"/>
        </w:rPr>
        <w:t>42.1</w:t>
      </w:r>
      <w:r>
        <w:rPr>
          <w:rFonts w:ascii="仿宋_GB2312" w:eastAsia="仿宋_GB2312" w:cs="仿宋_GB2312"/>
          <w:snapToGrid w:val="0"/>
          <w:sz w:val="32"/>
          <w:szCs w:val="32"/>
        </w:rPr>
        <w:t>%</w:t>
      </w:r>
      <w:r>
        <w:rPr>
          <w:rFonts w:hint="eastAsia" w:ascii="仿宋_GB2312" w:eastAsia="仿宋_GB2312" w:cs="仿宋_GB2312"/>
          <w:snapToGrid w:val="0"/>
          <w:sz w:val="32"/>
          <w:szCs w:val="32"/>
          <w:lang w:eastAsia="zh-CN"/>
        </w:rPr>
        <w:t>，</w:t>
      </w:r>
      <w:r>
        <w:rPr>
          <w:rFonts w:hint="eastAsia" w:ascii="仿宋_GB2312" w:hAnsi="Times New Roman" w:eastAsia="仿宋_GB2312" w:cs="Times New Roman"/>
          <w:sz w:val="32"/>
          <w:lang w:val="en-US" w:eastAsia="zh-CN"/>
        </w:rPr>
        <w:t>较年初增幅较大，主要是国有企业股权转让收益大幅增加</w:t>
      </w:r>
      <w:r>
        <w:rPr>
          <w:rFonts w:hint="eastAsia" w:ascii="仿宋_GB2312" w:eastAsia="仿宋_GB2312" w:cs="仿宋_GB2312"/>
          <w:snapToGrid w:val="0"/>
          <w:sz w:val="32"/>
          <w:szCs w:val="32"/>
        </w:rPr>
        <w:t>。</w:t>
      </w:r>
      <w:r>
        <w:rPr>
          <w:rFonts w:hint="eastAsia" w:ascii="仿宋_GB2312" w:eastAsia="仿宋_GB2312" w:cs="仿宋_GB2312"/>
          <w:sz w:val="32"/>
          <w:szCs w:val="32"/>
        </w:rPr>
        <w:t>其中：企业上缴利润收入4.3亿元，完成年初预算的</w:t>
      </w:r>
      <w:r>
        <w:rPr>
          <w:rFonts w:ascii="仿宋_GB2312" w:eastAsia="仿宋_GB2312" w:cs="仿宋_GB2312"/>
          <w:sz w:val="32"/>
          <w:szCs w:val="32"/>
        </w:rPr>
        <w:t>398.4%</w:t>
      </w:r>
      <w:r>
        <w:rPr>
          <w:rFonts w:hint="eastAsia" w:ascii="仿宋_GB2312" w:eastAsia="仿宋_GB2312" w:cs="仿宋_GB2312"/>
          <w:sz w:val="32"/>
          <w:szCs w:val="32"/>
        </w:rPr>
        <w:t>；股利、股息收入6848万元</w:t>
      </w:r>
      <w:r>
        <w:rPr>
          <w:rFonts w:hint="eastAsia" w:ascii="仿宋_GB2312" w:eastAsia="仿宋_GB2312" w:cs="仿宋_GB2312"/>
          <w:snapToGrid w:val="0"/>
          <w:kern w:val="0"/>
          <w:sz w:val="32"/>
          <w:szCs w:val="32"/>
        </w:rPr>
        <w:t>；市专项转移</w:t>
      </w:r>
      <w:r>
        <w:rPr>
          <w:rFonts w:hint="eastAsia" w:ascii="仿宋_GB2312" w:eastAsia="仿宋_GB2312" w:cs="仿宋_GB2312"/>
          <w:snapToGrid w:val="0"/>
          <w:sz w:val="32"/>
          <w:szCs w:val="32"/>
        </w:rPr>
        <w:t>支付</w:t>
      </w:r>
      <w:r>
        <w:rPr>
          <w:rFonts w:hint="eastAsia" w:ascii="仿宋_GB2312" w:eastAsia="仿宋_GB2312" w:cs="仿宋_GB2312"/>
          <w:snapToGrid w:val="0"/>
          <w:kern w:val="0"/>
          <w:sz w:val="32"/>
          <w:szCs w:val="32"/>
        </w:rPr>
        <w:t>收入2893万元</w:t>
      </w:r>
      <w:r>
        <w:rPr>
          <w:rFonts w:hint="eastAsia" w:ascii="仿宋_GB2312" w:eastAsia="仿宋_GB2312" w:cs="仿宋_GB2312"/>
          <w:sz w:val="32"/>
          <w:szCs w:val="32"/>
        </w:rPr>
        <w:t>；上年结余2455万元。</w:t>
      </w:r>
    </w:p>
    <w:p>
      <w:pPr>
        <w:tabs>
          <w:tab w:val="left" w:pos="3038"/>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全区国有资本经营预算支出预计</w:t>
      </w:r>
      <w:r>
        <w:rPr>
          <w:rFonts w:hint="eastAsia" w:ascii="仿宋_GB2312" w:eastAsia="仿宋_GB2312" w:cs="仿宋_GB2312"/>
          <w:snapToGrid w:val="0"/>
          <w:sz w:val="32"/>
          <w:szCs w:val="32"/>
        </w:rPr>
        <w:t>为</w:t>
      </w:r>
      <w:r>
        <w:rPr>
          <w:rFonts w:hint="eastAsia" w:ascii="仿宋_GB2312" w:eastAsia="仿宋_GB2312" w:cs="仿宋_GB2312"/>
          <w:sz w:val="32"/>
          <w:szCs w:val="32"/>
        </w:rPr>
        <w:t>5.5亿元</w:t>
      </w:r>
      <w:r>
        <w:rPr>
          <w:rFonts w:hint="eastAsia" w:ascii="仿宋_GB2312" w:eastAsia="仿宋_GB2312" w:cs="仿宋_GB2312"/>
          <w:snapToGrid w:val="0"/>
          <w:sz w:val="32"/>
          <w:szCs w:val="32"/>
        </w:rPr>
        <w:t>，完成年初预算的342.1%。其中：国有企业退休人员社会化管理补助支出2893万元；国有经济结构调整支出6715万元；</w:t>
      </w:r>
      <w:r>
        <w:rPr>
          <w:rFonts w:hint="eastAsia" w:ascii="仿宋_GB2312" w:eastAsia="仿宋_GB2312" w:cs="仿宋_GB2312"/>
          <w:sz w:val="32"/>
          <w:szCs w:val="32"/>
        </w:rPr>
        <w:t>按照国有资本经营预算收入的30%调出资金1.5亿元补充一般公共预算；本年结余3.1亿元。</w:t>
      </w:r>
      <w:r>
        <w:rPr>
          <w:rFonts w:hint="eastAsia" w:ascii="仿宋_GB2312" w:eastAsia="仿宋_GB2312"/>
          <w:sz w:val="32"/>
          <w:szCs w:val="32"/>
        </w:rPr>
        <w:t>国有资本经营预算收支平衡。</w:t>
      </w:r>
    </w:p>
    <w:p>
      <w:pP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（二）“两重”项目执行情况</w:t>
      </w:r>
    </w:p>
    <w:p>
      <w:pPr>
        <w:adjustRightInd w:val="0"/>
        <w:spacing w:line="560" w:lineRule="exact"/>
        <w:ind w:firstLine="640" w:firstLineChars="200"/>
        <w:outlineLvl w:val="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2021年年初预算选取趸租社会房源作为公租房、区域课程改革质量提升、海淀区环境建设、北部地区污水设施处理、家庭养老照护床位建设五个重点支出项目，全年拨付财政资金11.2亿元，实际支出10.9亿元。</w:t>
      </w:r>
    </w:p>
    <w:p>
      <w:pPr>
        <w:adjustRightInd w:val="0"/>
        <w:spacing w:line="560" w:lineRule="exact"/>
        <w:ind w:firstLine="640" w:firstLineChars="200"/>
        <w:outlineLvl w:val="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2021年年初预算选取金河生态治理工程、北部医疗中心、海淀区教师进修学校新校区、海淀区三山五园艺术中心四个政府固定资产投资重大项目，本年计划投资合计5.5亿元，全年根据项目实施进度拨付财政资金3.4亿元，实际支出3.3亿元。</w:t>
      </w:r>
    </w:p>
    <w:p>
      <w:pP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（三）地方政府债券资金执行情况</w:t>
      </w:r>
    </w:p>
    <w:p>
      <w:pPr>
        <w:spacing w:line="560" w:lineRule="exact"/>
        <w:ind w:firstLine="640" w:firstLineChars="200"/>
        <w:rPr>
          <w:rFonts w:ascii="仿宋_GB2312" w:eastAsia="仿宋_GB2312" w:cs="仿宋_GB2312"/>
          <w:sz w:val="32"/>
          <w:szCs w:val="32"/>
          <w:highlight w:val="yellow"/>
        </w:rPr>
      </w:pPr>
      <w:r>
        <w:rPr>
          <w:rFonts w:hint="eastAsia" w:ascii="仿宋_GB2312" w:eastAsia="仿宋_GB2312" w:cs="仿宋_GB2312"/>
          <w:sz w:val="32"/>
          <w:szCs w:val="32"/>
        </w:rPr>
        <w:t>北京市财政局核定下达我区2021年新增地方政府债务限额203.1亿元，其中：新增一般债务限额18.8亿元；新增专项债务限额184.3亿元。此外，北京市财政局核定下达我区地方政府再融资一般债券资</w:t>
      </w:r>
      <w:r>
        <w:rPr>
          <w:rFonts w:hint="eastAsia" w:ascii="仿宋_GB2312" w:eastAsia="仿宋_GB2312"/>
          <w:sz w:val="32"/>
        </w:rPr>
        <w:t>金</w:t>
      </w:r>
      <w:r>
        <w:rPr>
          <w:rStyle w:val="14"/>
          <w:rFonts w:ascii="仿宋_GB2312" w:eastAsia="仿宋_GB2312"/>
          <w:sz w:val="32"/>
        </w:rPr>
        <w:footnoteReference w:id="6"/>
      </w:r>
      <w:r>
        <w:rPr>
          <w:rFonts w:hint="eastAsia" w:ascii="仿宋_GB2312" w:eastAsia="仿宋_GB2312"/>
          <w:sz w:val="32"/>
        </w:rPr>
        <w:t>19.</w:t>
      </w:r>
      <w:r>
        <w:rPr>
          <w:rFonts w:hint="eastAsia" w:ascii="仿宋_GB2312" w:eastAsia="仿宋_GB2312" w:cs="仿宋_GB2312"/>
          <w:sz w:val="32"/>
          <w:szCs w:val="32"/>
        </w:rPr>
        <w:t>0亿元。</w:t>
      </w:r>
    </w:p>
    <w:p>
      <w:pPr>
        <w:spacing w:line="560" w:lineRule="exact"/>
        <w:ind w:firstLine="640" w:firstLineChars="200"/>
        <w:rPr>
          <w:rFonts w:ascii="仿宋_GB2312" w:eastAsia="仿宋_GB2312" w:cs="仿宋_GB2312"/>
          <w:snapToGrid w:val="0"/>
          <w:sz w:val="32"/>
          <w:szCs w:val="32"/>
        </w:rPr>
      </w:pPr>
      <w:r>
        <w:rPr>
          <w:rFonts w:hint="eastAsia" w:ascii="仿宋_GB2312" w:eastAsia="仿宋_GB2312" w:cs="仿宋_GB2312"/>
          <w:snapToGrid w:val="0"/>
          <w:sz w:val="32"/>
          <w:szCs w:val="32"/>
        </w:rPr>
        <w:t>截至2021年底，我区地方政府债务限额预计为699.9亿元，其中：一般债务限额236.3亿元；专项债务限额463.6亿元。债务余额预计为452.0亿元，其中：一般债券余额204.7亿元；专项债券余额247.3亿元。此外，本年预计发生利息和手续费支出8.4亿元，其中：一般债券6.0亿元；专项债券2.4亿元。按照财政部地方政府债务风险等级评定标准，我区法定债务率处于绿色区域，债务余额保持在政府债务限额以内，债务风险可控。</w:t>
      </w:r>
    </w:p>
    <w:p>
      <w:pP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（四）政府投资计划执行情况</w:t>
      </w:r>
    </w:p>
    <w:p>
      <w:pPr>
        <w:tabs>
          <w:tab w:val="left" w:pos="3038"/>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2021年海淀区政府投资计划安排资金137.2亿元，其中：中央及市级资金10.2亿元，区级资金116.7亿元，北部地区重点项目建设资金10.3亿元。2021年实际拨付资金93.7亿元，其中：中央及市级资金8.8亿元，区级资金81.5亿元，北部地区重点项目建设资金3.4亿元，主要用于“三山五园”地区环境整治、北部医疗中心建设、老旧小区综合整治等交通运输、环境整治、基础设施、民生保障领域。</w:t>
      </w:r>
    </w:p>
    <w:p>
      <w:pPr>
        <w:tabs>
          <w:tab w:val="left" w:pos="3038"/>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20</w:t>
      </w:r>
      <w:r>
        <w:rPr>
          <w:rFonts w:hint="eastAsia" w:ascii="黑体" w:hAnsi="黑体" w:eastAsia="黑体" w:cs="黑体"/>
          <w:sz w:val="32"/>
          <w:szCs w:val="32"/>
        </w:rPr>
        <w:t>21</w:t>
      </w:r>
      <w:r>
        <w:rPr>
          <w:rFonts w:ascii="黑体" w:hAnsi="黑体" w:eastAsia="黑体" w:cs="黑体"/>
          <w:sz w:val="32"/>
          <w:szCs w:val="32"/>
        </w:rPr>
        <w:t>年</w:t>
      </w:r>
      <w:r>
        <w:rPr>
          <w:rFonts w:hint="eastAsia" w:ascii="黑体" w:hAnsi="黑体" w:eastAsia="黑体" w:cs="黑体"/>
          <w:sz w:val="32"/>
          <w:szCs w:val="32"/>
        </w:rPr>
        <w:t>预算主要执行效果</w:t>
      </w:r>
    </w:p>
    <w:p>
      <w:pPr>
        <w:tabs>
          <w:tab w:val="left" w:pos="3038"/>
        </w:tabs>
        <w:spacing w:line="560" w:lineRule="exact"/>
        <w:ind w:firstLine="640" w:firstLineChars="200"/>
        <w:rPr>
          <w:rFonts w:ascii="楷体_GB2312" w:eastAsia="楷体_GB2312"/>
          <w:bCs/>
          <w:sz w:val="32"/>
          <w:szCs w:val="32"/>
        </w:rPr>
      </w:pPr>
      <w:r>
        <w:rPr>
          <w:rFonts w:hint="eastAsia" w:ascii="楷体_GB2312" w:eastAsia="楷体_GB2312"/>
          <w:bCs/>
          <w:sz w:val="32"/>
          <w:szCs w:val="32"/>
        </w:rPr>
        <w:t>（一）以“两区”建设为抓手，坚持谋篇布局、创新驱动，高质量经济发展态势不断巩固</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整体收入形势稳中向好。</w:t>
      </w:r>
      <w:r>
        <w:rPr>
          <w:rFonts w:hint="eastAsia" w:ascii="仿宋_GB2312" w:eastAsia="仿宋_GB2312"/>
          <w:sz w:val="32"/>
          <w:szCs w:val="32"/>
        </w:rPr>
        <w:t>年初以来，随着疫情防控和社会经济发展工作成效持续显现，区域内企业经营状况不断改善，市场活跃度进一步回暖，财政收入稳步增长，预计全年实现税收收入444.5亿元，非税收入45.7亿元。其中：重点税源企业收入增长迅猛，已实现区级入库265.6亿元，同比增长14.4%；潜力企业收入贡献不断加码，44家独角兽企业实现区级入库7.3亿元，同比增长29.7%。整体来看，收入形势好于预期，在去年低基数的基础上实现恢复性增长。</w:t>
      </w:r>
    </w:p>
    <w:p>
      <w:pPr>
        <w:tabs>
          <w:tab w:val="left" w:pos="3038"/>
        </w:tabs>
        <w:spacing w:line="560" w:lineRule="exact"/>
        <w:ind w:firstLine="643" w:firstLineChars="200"/>
        <w:rPr>
          <w:rFonts w:ascii="仿宋_GB2312" w:eastAsia="仿宋_GB2312"/>
          <w:sz w:val="32"/>
          <w:szCs w:val="32"/>
        </w:rPr>
      </w:pPr>
      <w:r>
        <w:rPr>
          <w:rFonts w:hint="eastAsia" w:ascii="仿宋_GB2312" w:eastAsia="仿宋_GB2312"/>
          <w:b/>
          <w:sz w:val="32"/>
          <w:szCs w:val="32"/>
        </w:rPr>
        <w:t>财源建设取得阶段成效。一是</w:t>
      </w:r>
      <w:r>
        <w:rPr>
          <w:rFonts w:hint="eastAsia" w:ascii="仿宋_GB2312" w:eastAsia="仿宋_GB2312"/>
          <w:sz w:val="32"/>
          <w:szCs w:val="32"/>
        </w:rPr>
        <w:t>工作机制持续完善。建立区长挂帅、部门协同、属地落实的三级财源工作组织架构，形成244人的财源工作队伍。</w:t>
      </w:r>
      <w:r>
        <w:rPr>
          <w:rFonts w:hint="eastAsia" w:ascii="仿宋_GB2312" w:eastAsia="仿宋_GB2312"/>
          <w:b/>
          <w:sz w:val="32"/>
          <w:szCs w:val="32"/>
        </w:rPr>
        <w:t>二是</w:t>
      </w:r>
      <w:r>
        <w:rPr>
          <w:rFonts w:hint="eastAsia" w:ascii="仿宋_GB2312" w:eastAsia="仿宋_GB2312"/>
          <w:sz w:val="32"/>
          <w:szCs w:val="32"/>
        </w:rPr>
        <w:t>政策保障体系持续优化。制订《海淀区促进产业高质量发展专项资金管理办法》《海淀区街镇财源建设工作奖励办法(试行)》等文件，明确财源建设工作任务，强化政策的引导和支撑作用。</w:t>
      </w:r>
      <w:r>
        <w:rPr>
          <w:rFonts w:hint="eastAsia" w:ascii="仿宋_GB2312" w:eastAsia="仿宋_GB2312"/>
          <w:b/>
          <w:sz w:val="32"/>
          <w:szCs w:val="32"/>
        </w:rPr>
        <w:t>三是</w:t>
      </w:r>
      <w:r>
        <w:rPr>
          <w:rFonts w:hint="eastAsia" w:ascii="仿宋_GB2312" w:eastAsia="仿宋_GB2312"/>
          <w:sz w:val="32"/>
          <w:szCs w:val="32"/>
        </w:rPr>
        <w:t>涉企服务水平不断提高。安排税务专员和市场专员下沉街镇，强化三级走访、联席会商等服务机制，全年税源流失减少超过700万元，京外引入企业73家，已实现区级入库4420万元。</w:t>
      </w:r>
    </w:p>
    <w:p>
      <w:pPr>
        <w:tabs>
          <w:tab w:val="left" w:pos="3038"/>
        </w:tabs>
        <w:spacing w:line="560" w:lineRule="exact"/>
        <w:ind w:firstLine="640"/>
        <w:rPr>
          <w:rFonts w:ascii="仿宋_GB2312" w:hAnsi="宋体" w:eastAsia="仿宋_GB2312"/>
          <w:sz w:val="32"/>
          <w:szCs w:val="32"/>
        </w:rPr>
      </w:pPr>
      <w:r>
        <w:rPr>
          <w:rFonts w:hint="eastAsia" w:ascii="仿宋_GB2312" w:eastAsia="仿宋_GB2312"/>
          <w:b/>
          <w:sz w:val="32"/>
          <w:szCs w:val="32"/>
        </w:rPr>
        <w:t>深入推进“两区”建设。</w:t>
      </w:r>
      <w:r>
        <w:rPr>
          <w:rFonts w:hint="eastAsia" w:ascii="仿宋_GB2312" w:hAnsi="仿宋_GB2312" w:eastAsia="仿宋_GB2312" w:cs="仿宋_GB2312"/>
          <w:sz w:val="32"/>
          <w:szCs w:val="32"/>
        </w:rPr>
        <w:t>拨付资金33.0亿元，积极落实《海淀区“两区”建设工作方案》，重点实施翠湖片区、永丰片区土地一级开发项目，年内新增约64万平方米产业空间，放大“两区”与中关村国家自主创新示范区先行先试政策叠加效应</w:t>
      </w:r>
      <w:r>
        <w:rPr>
          <w:rFonts w:hint="eastAsia" w:ascii="仿宋_GB2312" w:eastAsia="仿宋_GB2312" w:cs="仿宋_GB2312"/>
          <w:sz w:val="32"/>
          <w:szCs w:val="32"/>
        </w:rPr>
        <w:t>。建立健全“两区”建设督察评估体系，从工作机制、政策落实、项目落地、产业带动等多个角度进行综合评估，对标国际一流、对表国家和北京市要求，实现“以评促改”，</w:t>
      </w:r>
      <w:r>
        <w:rPr>
          <w:rFonts w:hint="eastAsia" w:ascii="仿宋_GB2312" w:hAnsi="仿宋_GB2312" w:eastAsia="仿宋_GB2312" w:cs="仿宋_GB2312"/>
          <w:sz w:val="32"/>
          <w:szCs w:val="32"/>
        </w:rPr>
        <w:t>打造“两区”建设海淀“样板”。</w:t>
      </w:r>
    </w:p>
    <w:p>
      <w:pPr>
        <w:tabs>
          <w:tab w:val="left" w:pos="3038"/>
        </w:tabs>
        <w:spacing w:line="560" w:lineRule="exact"/>
        <w:ind w:firstLine="640"/>
        <w:rPr>
          <w:rFonts w:ascii="仿宋_GB2312" w:hAnsi="宋体" w:eastAsia="仿宋_GB2312"/>
          <w:sz w:val="32"/>
          <w:szCs w:val="32"/>
        </w:rPr>
      </w:pPr>
      <w:r>
        <w:rPr>
          <w:rFonts w:hint="eastAsia" w:ascii="仿宋_GB2312" w:eastAsia="仿宋_GB2312"/>
          <w:b/>
          <w:sz w:val="32"/>
          <w:szCs w:val="32"/>
        </w:rPr>
        <w:t>加快发展现代产业体系。</w:t>
      </w:r>
      <w:r>
        <w:rPr>
          <w:rFonts w:hint="eastAsia" w:ascii="仿宋_GB2312" w:eastAsia="仿宋_GB2312"/>
          <w:sz w:val="32"/>
          <w:szCs w:val="32"/>
        </w:rPr>
        <w:t>拨付资金22.1亿元，大力支持</w:t>
      </w:r>
      <w:r>
        <w:rPr>
          <w:rFonts w:hint="eastAsia" w:ascii="仿宋_GB2312" w:hAnsi="宋体" w:eastAsia="仿宋_GB2312"/>
          <w:sz w:val="32"/>
          <w:szCs w:val="32"/>
        </w:rPr>
        <w:t>头部企业产业基础再造和重大技术改造，推动产业链优化升级;</w:t>
      </w:r>
      <w:r>
        <w:rPr>
          <w:rFonts w:hint="eastAsia" w:ascii="仿宋_GB2312" w:eastAsia="仿宋_GB2312"/>
          <w:sz w:val="32"/>
          <w:szCs w:val="32"/>
        </w:rPr>
        <w:t>加快发展以大信息、大健康、先进制造业、科技服务业为核心的现代产业体系，统筹推进高精尖产业优化升级；支持实施数字经济发展行动计划，</w:t>
      </w:r>
      <w:r>
        <w:rPr>
          <w:rFonts w:hint="eastAsia" w:ascii="仿宋_GB2312" w:hAnsi="宋体" w:eastAsia="仿宋_GB2312"/>
          <w:sz w:val="32"/>
          <w:szCs w:val="32"/>
        </w:rPr>
        <w:t>建设全球数字经济标杆城市引领区；支持创新型企业梯度培育机制建设，培育更多国家高新技术企业、上市企业、独角兽企业；加强投资机构和孵化机构合作，完善创新创业服务体系，助力中小企业跨越式发展。</w:t>
      </w:r>
    </w:p>
    <w:p>
      <w:pPr>
        <w:tabs>
          <w:tab w:val="left" w:pos="3038"/>
        </w:tabs>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财政金融协同持续发力。</w:t>
      </w:r>
      <w:r>
        <w:rPr>
          <w:rFonts w:hint="eastAsia" w:ascii="仿宋_GB2312" w:eastAsia="仿宋_GB2312"/>
          <w:sz w:val="32"/>
          <w:szCs w:val="32"/>
        </w:rPr>
        <w:t>聚焦产业空间建设，推动设立总规模300亿元的中关村科学城城市更新与发展基金。</w:t>
      </w:r>
      <w:r>
        <w:rPr>
          <w:rFonts w:hint="eastAsia" w:ascii="仿宋_GB2312" w:hAnsi="宋体" w:eastAsia="仿宋_GB2312" w:cs="宋体"/>
          <w:kern w:val="0"/>
          <w:sz w:val="32"/>
          <w:szCs w:val="32"/>
        </w:rPr>
        <w:t>率先出台中小微企业贷款贴息细则，兑现全市首笔中小微企业首贷贴息，切实降低企业融资成本。不断优化财金协同平台</w:t>
      </w:r>
      <w:r>
        <w:rPr>
          <w:rFonts w:hint="eastAsia" w:ascii="仿宋_GB2312" w:eastAsia="仿宋_GB2312"/>
          <w:sz w:val="32"/>
          <w:szCs w:val="32"/>
        </w:rPr>
        <w:t>，整合优质金融资源，</w:t>
      </w:r>
      <w:r>
        <w:rPr>
          <w:rFonts w:hint="eastAsia" w:ascii="仿宋_GB2312" w:hAnsi="宋体" w:eastAsia="仿宋_GB2312" w:cs="宋体"/>
          <w:kern w:val="0"/>
          <w:sz w:val="32"/>
          <w:szCs w:val="32"/>
        </w:rPr>
        <w:t>合作银行已通过平台为多家小微企业累计放款5118万元。</w:t>
      </w:r>
      <w:r>
        <w:rPr>
          <w:rFonts w:hint="eastAsia" w:ascii="仿宋_GB2312" w:eastAsia="仿宋_GB2312"/>
          <w:sz w:val="32"/>
          <w:szCs w:val="32"/>
        </w:rPr>
        <w:t>设立融资担保基金，为23家企业提供担保总额1.6亿元，全力解决中小微企业“融资难、融资贵”问题。</w:t>
      </w:r>
    </w:p>
    <w:p>
      <w:pPr>
        <w:tabs>
          <w:tab w:val="left" w:pos="3038"/>
        </w:tabs>
        <w:spacing w:line="560" w:lineRule="exact"/>
        <w:ind w:firstLine="640" w:firstLineChars="200"/>
        <w:rPr>
          <w:rFonts w:ascii="楷体_GB2312" w:eastAsia="楷体_GB2312"/>
          <w:bCs/>
          <w:sz w:val="32"/>
          <w:szCs w:val="32"/>
        </w:rPr>
      </w:pPr>
      <w:r>
        <w:rPr>
          <w:rFonts w:hint="eastAsia" w:ascii="楷体_GB2312" w:eastAsia="楷体_GB2312"/>
          <w:bCs/>
          <w:sz w:val="32"/>
          <w:szCs w:val="32"/>
        </w:rPr>
        <w:t>（二）以“科学理念”为引领，坚持统筹兼顾、智慧赋能，高品质新型城市形态加快形成</w:t>
      </w:r>
    </w:p>
    <w:p>
      <w:pPr>
        <w:tabs>
          <w:tab w:val="left" w:pos="3038"/>
        </w:tabs>
        <w:spacing w:line="560" w:lineRule="exact"/>
        <w:ind w:firstLine="643" w:firstLineChars="200"/>
        <w:rPr>
          <w:rFonts w:ascii="仿宋_GB2312" w:hAnsi="仿宋" w:eastAsia="仿宋_GB2312"/>
          <w:snapToGrid w:val="0"/>
          <w:kern w:val="0"/>
          <w:sz w:val="32"/>
          <w:szCs w:val="32"/>
        </w:rPr>
      </w:pPr>
      <w:r>
        <w:rPr>
          <w:rFonts w:hint="eastAsia" w:ascii="仿宋_GB2312" w:eastAsia="仿宋_GB2312"/>
          <w:b/>
          <w:sz w:val="32"/>
          <w:szCs w:val="32"/>
        </w:rPr>
        <w:t>城市更新行动深入推进。</w:t>
      </w:r>
      <w:r>
        <w:rPr>
          <w:rFonts w:hint="eastAsia" w:ascii="仿宋_GB2312" w:eastAsia="仿宋_GB2312" w:cs="仿宋_GB2312"/>
          <w:sz w:val="32"/>
          <w:szCs w:val="32"/>
        </w:rPr>
        <w:t>拨付资金8372万元，深入落实北京城市总规和海淀分区规划，</w:t>
      </w:r>
      <w:r>
        <w:rPr>
          <w:rFonts w:hint="eastAsia" w:ascii="仿宋_GB2312" w:eastAsia="仿宋_GB2312"/>
          <w:kern w:val="0"/>
          <w:sz w:val="32"/>
          <w:szCs w:val="32"/>
        </w:rPr>
        <w:t>街区指引编制取得阶段性成果，控规编制加快推进，</w:t>
      </w:r>
      <w:r>
        <w:rPr>
          <w:rFonts w:hint="eastAsia" w:ascii="仿宋_GB2312" w:eastAsia="仿宋_GB2312" w:cs="仿宋_GB2312"/>
          <w:sz w:val="32"/>
          <w:szCs w:val="32"/>
        </w:rPr>
        <w:t>城市空间品质不断提升。</w:t>
      </w:r>
      <w:r>
        <w:rPr>
          <w:rFonts w:hint="eastAsia" w:ascii="仿宋_GB2312" w:hAnsi="仿宋" w:eastAsia="仿宋_GB2312"/>
          <w:snapToGrid w:val="0"/>
          <w:kern w:val="0"/>
          <w:sz w:val="32"/>
          <w:szCs w:val="32"/>
        </w:rPr>
        <w:t>拨付资金4.1亿元，重点推进中关村大街城市客厅、北大西门片区城市更新升级、京张铁路遗址公园建设等市、区重点工程，支持我区老旧小区综合整治改造，优化提升城市功能，补足社区公共服务短板，提升居民生活舒适度和便利度。</w:t>
      </w:r>
    </w:p>
    <w:p>
      <w:pPr>
        <w:tabs>
          <w:tab w:val="left" w:pos="3038"/>
        </w:tabs>
        <w:spacing w:line="560" w:lineRule="exact"/>
        <w:ind w:firstLine="640"/>
        <w:rPr>
          <w:rFonts w:ascii="仿宋_GB2312" w:hAnsi="宋体" w:eastAsia="仿宋_GB2312" w:cs="宋体"/>
          <w:kern w:val="0"/>
          <w:sz w:val="32"/>
          <w:szCs w:val="32"/>
        </w:rPr>
      </w:pPr>
      <w:r>
        <w:rPr>
          <w:rFonts w:hint="eastAsia" w:ascii="仿宋_GB2312" w:hAnsi="宋体" w:eastAsia="仿宋_GB2312"/>
          <w:b/>
          <w:sz w:val="32"/>
          <w:szCs w:val="32"/>
        </w:rPr>
        <w:t>科学城北区建设持续加速。</w:t>
      </w:r>
      <w:r>
        <w:rPr>
          <w:rFonts w:hint="eastAsia" w:ascii="仿宋_GB2312" w:eastAsia="仿宋_GB2312" w:cs="仿宋_GB2312"/>
          <w:sz w:val="32"/>
          <w:szCs w:val="32"/>
        </w:rPr>
        <w:t>拨付资金166.9亿元，积极落实《中关村科学城北区发展行动计划》。开展冷泉村、上庄村等村庄非宅腾退工作</w:t>
      </w:r>
      <w:r>
        <w:rPr>
          <w:rFonts w:hint="eastAsia" w:ascii="仿宋_GB2312" w:hAnsi="宋体" w:eastAsia="仿宋_GB2312"/>
          <w:sz w:val="32"/>
          <w:szCs w:val="32"/>
        </w:rPr>
        <w:t>；围绕补足服务配套、增强生态功能、提升城市品质，统筹推进道路工程、输变电工程以及永丰调蓄水厂、稻香湖再生水厂（二期）建设等项目；</w:t>
      </w:r>
      <w:r>
        <w:rPr>
          <w:rFonts w:hint="eastAsia" w:ascii="仿宋_GB2312" w:eastAsia="仿宋_GB2312"/>
          <w:kern w:val="0"/>
          <w:sz w:val="32"/>
          <w:szCs w:val="32"/>
        </w:rPr>
        <w:t>建设</w:t>
      </w:r>
      <w:r>
        <w:rPr>
          <w:rFonts w:hint="eastAsia" w:ascii="仿宋_GB2312" w:hAnsi="宋体" w:eastAsia="仿宋_GB2312"/>
          <w:sz w:val="32"/>
          <w:szCs w:val="32"/>
        </w:rPr>
        <w:t>完成</w:t>
      </w:r>
      <w:r>
        <w:rPr>
          <w:rFonts w:hint="eastAsia" w:ascii="仿宋_GB2312" w:eastAsia="仿宋_GB2312"/>
          <w:kern w:val="0"/>
          <w:sz w:val="32"/>
          <w:szCs w:val="32"/>
        </w:rPr>
        <w:t>北部科学城上庄A05地块幼儿园、永靓幼儿园等18个教育设施；</w:t>
      </w:r>
      <w:r>
        <w:rPr>
          <w:rFonts w:hint="eastAsia" w:ascii="仿宋_GB2312" w:hAnsi="宋体" w:eastAsia="仿宋_GB2312"/>
          <w:sz w:val="32"/>
          <w:szCs w:val="32"/>
        </w:rPr>
        <w:t>北部医疗中心土方工程接近尾声；</w:t>
      </w:r>
      <w:r>
        <w:rPr>
          <w:rFonts w:hint="eastAsia" w:ascii="仿宋_GB2312" w:eastAsia="仿宋_GB2312"/>
          <w:sz w:val="32"/>
          <w:szCs w:val="32"/>
        </w:rPr>
        <w:t>7个</w:t>
      </w:r>
      <w:r>
        <w:rPr>
          <w:rFonts w:ascii="仿宋_GB2312" w:eastAsia="仿宋_GB2312"/>
          <w:sz w:val="32"/>
          <w:szCs w:val="32"/>
        </w:rPr>
        <w:t>非保留村</w:t>
      </w:r>
      <w:r>
        <w:rPr>
          <w:rFonts w:hint="eastAsia" w:ascii="仿宋_GB2312" w:eastAsia="仿宋_GB2312"/>
          <w:sz w:val="32"/>
          <w:szCs w:val="32"/>
        </w:rPr>
        <w:t>美丽乡村建设预计年底前顺利完成</w:t>
      </w:r>
      <w:r>
        <w:rPr>
          <w:rFonts w:hint="eastAsia" w:ascii="仿宋_GB2312" w:hAnsi="宋体" w:eastAsia="仿宋_GB2312" w:cs="宋体"/>
          <w:kern w:val="0"/>
          <w:sz w:val="32"/>
          <w:szCs w:val="32"/>
        </w:rPr>
        <w:t>。</w:t>
      </w:r>
    </w:p>
    <w:p>
      <w:pPr>
        <w:tabs>
          <w:tab w:val="left" w:pos="3038"/>
        </w:tabs>
        <w:spacing w:line="560" w:lineRule="exact"/>
        <w:ind w:firstLine="640"/>
        <w:rPr>
          <w:rFonts w:ascii="仿宋_GB2312" w:hAnsi="宋体" w:eastAsia="仿宋_GB2312" w:cs="宋体"/>
          <w:kern w:val="0"/>
          <w:sz w:val="32"/>
          <w:szCs w:val="32"/>
        </w:rPr>
      </w:pPr>
      <w:r>
        <w:rPr>
          <w:rFonts w:hint="eastAsia" w:ascii="仿宋_GB2312" w:eastAsia="仿宋_GB2312"/>
          <w:b/>
          <w:sz w:val="32"/>
          <w:szCs w:val="32"/>
        </w:rPr>
        <w:t>乡村振兴战略全面实施。</w:t>
      </w:r>
      <w:r>
        <w:rPr>
          <w:rFonts w:hint="eastAsia" w:ascii="仿宋_GB2312" w:hAnsi="仿宋" w:eastAsia="仿宋_GB2312"/>
          <w:sz w:val="32"/>
          <w:szCs w:val="32"/>
        </w:rPr>
        <w:t>拨付资金4.4亿元</w:t>
      </w:r>
      <w:r>
        <w:rPr>
          <w:rFonts w:hint="eastAsia" w:ascii="仿宋_GB2312" w:hAnsi="仿宋" w:eastAsia="仿宋_GB2312"/>
          <w:snapToGrid w:val="0"/>
          <w:kern w:val="0"/>
          <w:sz w:val="32"/>
          <w:szCs w:val="32"/>
        </w:rPr>
        <w:t>，</w:t>
      </w:r>
      <w:r>
        <w:rPr>
          <w:rFonts w:hint="eastAsia" w:ascii="仿宋_GB2312" w:hAnsi="仿宋" w:eastAsia="仿宋_GB2312"/>
          <w:sz w:val="32"/>
          <w:szCs w:val="32"/>
        </w:rPr>
        <w:t>落实各项惠农政策，持续加强农村人居环境整治，推动农村基础设施养护、村庄准物业化管理，支持</w:t>
      </w:r>
      <w:r>
        <w:rPr>
          <w:rFonts w:hint="eastAsia" w:ascii="仿宋_GB2312" w:hAnsi="仿宋" w:eastAsia="仿宋_GB2312"/>
          <w:snapToGrid w:val="0"/>
          <w:kern w:val="0"/>
          <w:sz w:val="32"/>
          <w:szCs w:val="32"/>
        </w:rPr>
        <w:t>产业园和示范区</w:t>
      </w:r>
      <w:r>
        <w:rPr>
          <w:rFonts w:hint="eastAsia" w:ascii="仿宋_GB2312" w:hAnsi="仿宋" w:eastAsia="仿宋_GB2312"/>
          <w:sz w:val="32"/>
          <w:szCs w:val="32"/>
        </w:rPr>
        <w:t>建设。拨付资金18.3亿元，保障整建制农转非政策落实。拨付资金1.1亿元，坚决贯彻全国巩固拓展脱贫攻坚成果同乡村振兴有效衔接工作会议精神，进一步推进帮扶地区产业、人才、文化、生态、组织五大振兴。拨付资金1.0亿元，继续落实海淀延庆结对协作机制，支持冬奥会、生态涵养地、中关村延庆园区等项目。</w:t>
      </w:r>
    </w:p>
    <w:p>
      <w:pPr>
        <w:tabs>
          <w:tab w:val="left" w:pos="3038"/>
        </w:tabs>
        <w:spacing w:line="560" w:lineRule="exact"/>
        <w:ind w:firstLine="643" w:firstLineChars="200"/>
        <w:rPr>
          <w:rFonts w:ascii="仿宋_GB2312" w:eastAsia="仿宋_GB2312"/>
          <w:sz w:val="32"/>
          <w:szCs w:val="32"/>
          <w:highlight w:val="yellow"/>
        </w:rPr>
      </w:pPr>
      <w:r>
        <w:rPr>
          <w:rFonts w:hint="eastAsia" w:ascii="仿宋_GB2312" w:eastAsia="仿宋_GB2312" w:cs="仿宋_GB2312"/>
          <w:b/>
          <w:sz w:val="32"/>
          <w:szCs w:val="32"/>
        </w:rPr>
        <w:t>城市生活品质不断提升。</w:t>
      </w:r>
      <w:r>
        <w:rPr>
          <w:rFonts w:ascii="仿宋_GB2312" w:hAnsi="仿宋_GB2312" w:eastAsia="仿宋_GB2312" w:cs="仿宋_GB2312"/>
          <w:bCs/>
          <w:sz w:val="32"/>
          <w:szCs w:val="32"/>
        </w:rPr>
        <w:t>拨付</w:t>
      </w:r>
      <w:r>
        <w:rPr>
          <w:rFonts w:hint="eastAsia" w:ascii="仿宋_GB2312" w:eastAsia="仿宋_GB2312" w:cs="仿宋_GB2312"/>
          <w:sz w:val="32"/>
          <w:szCs w:val="32"/>
        </w:rPr>
        <w:t>资金49.8亿元，持续开展“疏整促”专项行动，累计拆除违法建设215.2万平方米，腾退土地225.9公顷，“三山五园”地区整治取得实质性成效，基本完成二河开地区腾退，年底前启动福缘门、挂甲屯腾退工作，实施京昌路楔形绿地、双新、功德寺等棚户区改造项目，改善人居环境。拨付资金</w:t>
      </w:r>
      <w:r>
        <w:rPr>
          <w:rFonts w:hint="eastAsia" w:ascii="仿宋_GB2312" w:eastAsia="仿宋_GB2312"/>
          <w:sz w:val="32"/>
          <w:szCs w:val="32"/>
        </w:rPr>
        <w:t>4.4亿元</w:t>
      </w:r>
      <w:r>
        <w:rPr>
          <w:rFonts w:hint="eastAsia" w:ascii="楷体_GB2312" w:eastAsia="楷体_GB2312"/>
          <w:b/>
          <w:sz w:val="32"/>
          <w:szCs w:val="32"/>
        </w:rPr>
        <w:t>，</w:t>
      </w:r>
      <w:r>
        <w:rPr>
          <w:rFonts w:hint="eastAsia" w:ascii="仿宋_GB2312" w:eastAsia="仿宋_GB2312" w:cs="仿宋_GB2312"/>
          <w:sz w:val="32"/>
          <w:szCs w:val="32"/>
        </w:rPr>
        <w:t>深化交通综合治理，</w:t>
      </w:r>
      <w:r>
        <w:rPr>
          <w:rFonts w:hint="eastAsia" w:ascii="仿宋_GB2312" w:eastAsia="仿宋_GB2312"/>
          <w:sz w:val="32"/>
          <w:szCs w:val="32"/>
        </w:rPr>
        <w:t>地铁19号线一期、16号线南段至玉渊潭东门站年内预计实现通车；完成文慧园路、魏公村斜街等五项疏堵工程；</w:t>
      </w:r>
      <w:r>
        <w:rPr>
          <w:rFonts w:hint="eastAsia" w:ascii="仿宋_GB2312" w:eastAsia="仿宋_GB2312" w:cs="仿宋_GB2312"/>
          <w:sz w:val="32"/>
          <w:szCs w:val="32"/>
        </w:rPr>
        <w:t>完善</w:t>
      </w:r>
      <w:r>
        <w:rPr>
          <w:rFonts w:hint="eastAsia" w:ascii="仿宋_GB2312" w:eastAsia="仿宋_GB2312"/>
          <w:sz w:val="32"/>
          <w:szCs w:val="32"/>
        </w:rPr>
        <w:t>四季青、西三旗</w:t>
      </w:r>
      <w:r>
        <w:rPr>
          <w:rFonts w:hint="eastAsia" w:ascii="仿宋_GB2312" w:eastAsia="仿宋_GB2312" w:cs="仿宋_GB2312"/>
          <w:sz w:val="32"/>
          <w:szCs w:val="32"/>
        </w:rPr>
        <w:t>等区域慢行系统建设；挖潜停车位5901个，打造错时共享停车场41处，有效改善群众出行条件。</w:t>
      </w:r>
    </w:p>
    <w:p>
      <w:pPr>
        <w:tabs>
          <w:tab w:val="left" w:pos="3038"/>
        </w:tabs>
        <w:spacing w:line="560" w:lineRule="exact"/>
        <w:ind w:firstLine="643" w:firstLineChars="200"/>
        <w:rPr>
          <w:rFonts w:ascii="仿宋_GB2312" w:hAnsi="仿宋_GB2312" w:eastAsia="仿宋_GB2312" w:cs="仿宋_GB2312"/>
          <w:bCs/>
          <w:sz w:val="32"/>
          <w:szCs w:val="32"/>
        </w:rPr>
      </w:pPr>
      <w:r>
        <w:rPr>
          <w:rFonts w:hint="eastAsia" w:ascii="仿宋_GB2312" w:eastAsia="仿宋_GB2312"/>
          <w:b/>
          <w:sz w:val="32"/>
          <w:szCs w:val="32"/>
        </w:rPr>
        <w:t>污染防治攻坚战成效显著。</w:t>
      </w:r>
      <w:r>
        <w:rPr>
          <w:rFonts w:ascii="仿宋_GB2312" w:hAnsi="仿宋_GB2312" w:eastAsia="仿宋_GB2312" w:cs="仿宋_GB2312"/>
          <w:bCs/>
          <w:sz w:val="32"/>
          <w:szCs w:val="32"/>
        </w:rPr>
        <w:t>拨付</w:t>
      </w:r>
      <w:r>
        <w:rPr>
          <w:rFonts w:hint="eastAsia" w:ascii="仿宋_GB2312" w:hAnsi="仿宋_GB2312" w:eastAsia="仿宋_GB2312" w:cs="仿宋_GB2312"/>
          <w:bCs/>
          <w:sz w:val="32"/>
          <w:szCs w:val="32"/>
        </w:rPr>
        <w:t>资金2.9</w:t>
      </w:r>
      <w:r>
        <w:rPr>
          <w:rFonts w:ascii="仿宋_GB2312" w:hAnsi="仿宋_GB2312" w:eastAsia="仿宋_GB2312" w:cs="仿宋_GB2312"/>
          <w:bCs/>
          <w:sz w:val="32"/>
          <w:szCs w:val="32"/>
        </w:rPr>
        <w:t>亿元，</w:t>
      </w:r>
      <w:r>
        <w:rPr>
          <w:rFonts w:hint="eastAsia" w:ascii="仿宋_GB2312" w:eastAsia="仿宋_GB2312" w:cs="仿宋_GB2312"/>
          <w:sz w:val="32"/>
          <w:szCs w:val="32"/>
        </w:rPr>
        <w:t>落实中央关于碳达峰碳中和要求，深化大气污染防治“一微克”行动，</w:t>
      </w:r>
      <w:r>
        <w:rPr>
          <w:rFonts w:hint="eastAsia" w:ascii="仿宋_GB2312" w:hAnsi="仿宋_GB2312" w:eastAsia="仿宋_GB2312" w:cs="仿宋_GB2312"/>
          <w:bCs/>
          <w:sz w:val="32"/>
          <w:szCs w:val="32"/>
        </w:rPr>
        <w:t>持续改善空气质量。</w:t>
      </w:r>
      <w:r>
        <w:rPr>
          <w:rFonts w:ascii="仿宋_GB2312" w:hAnsi="仿宋_GB2312" w:eastAsia="仿宋_GB2312" w:cs="仿宋_GB2312"/>
          <w:bCs/>
          <w:sz w:val="32"/>
          <w:szCs w:val="32"/>
        </w:rPr>
        <w:t>拨付</w:t>
      </w:r>
      <w:r>
        <w:rPr>
          <w:rFonts w:hint="eastAsia" w:ascii="仿宋_GB2312" w:hAnsi="仿宋_GB2312" w:eastAsia="仿宋_GB2312" w:cs="仿宋_GB2312"/>
          <w:bCs/>
          <w:sz w:val="32"/>
          <w:szCs w:val="32"/>
        </w:rPr>
        <w:t>资金5.5</w:t>
      </w:r>
      <w:r>
        <w:rPr>
          <w:rFonts w:ascii="仿宋_GB2312" w:hAnsi="仿宋_GB2312" w:eastAsia="仿宋_GB2312" w:cs="仿宋_GB2312"/>
          <w:bCs/>
          <w:sz w:val="32"/>
          <w:szCs w:val="32"/>
        </w:rPr>
        <w:t>亿元，</w:t>
      </w:r>
      <w:r>
        <w:rPr>
          <w:rFonts w:hint="eastAsia" w:ascii="仿宋_GB2312" w:hAnsi="仿宋_GB2312" w:eastAsia="仿宋_GB2312" w:cs="仿宋_GB2312"/>
          <w:bCs/>
          <w:sz w:val="32"/>
          <w:szCs w:val="32"/>
        </w:rPr>
        <w:t>系统推进</w:t>
      </w:r>
      <w:r>
        <w:rPr>
          <w:rFonts w:ascii="仿宋_GB2312" w:hAnsi="仿宋_GB2312" w:eastAsia="仿宋_GB2312" w:cs="仿宋_GB2312"/>
          <w:bCs/>
          <w:sz w:val="32"/>
          <w:szCs w:val="32"/>
        </w:rPr>
        <w:t>“水清岸绿”</w:t>
      </w:r>
      <w:r>
        <w:rPr>
          <w:rFonts w:hint="eastAsia" w:ascii="仿宋_GB2312" w:hAnsi="仿宋_GB2312" w:eastAsia="仿宋_GB2312" w:cs="仿宋_GB2312"/>
          <w:bCs/>
          <w:sz w:val="32"/>
          <w:szCs w:val="32"/>
        </w:rPr>
        <w:t>行动</w:t>
      </w:r>
      <w:r>
        <w:rPr>
          <w:rFonts w:ascii="仿宋_GB2312" w:hAnsi="仿宋_GB2312" w:eastAsia="仿宋_GB2312" w:cs="仿宋_GB2312"/>
          <w:bCs/>
          <w:sz w:val="32"/>
          <w:szCs w:val="32"/>
        </w:rPr>
        <w:t>计划，</w:t>
      </w:r>
      <w:r>
        <w:rPr>
          <w:rFonts w:hint="eastAsia" w:ascii="仿宋_GB2312" w:eastAsia="仿宋_GB2312" w:cs="仿宋_GB2312"/>
          <w:sz w:val="32"/>
          <w:szCs w:val="32"/>
        </w:rPr>
        <w:t>支持河道养护保洁、污水处理，</w:t>
      </w:r>
      <w:r>
        <w:rPr>
          <w:rFonts w:hint="eastAsia" w:ascii="仿宋_GB2312" w:hAnsi="仿宋_GB2312" w:eastAsia="仿宋_GB2312" w:cs="仿宋_GB2312"/>
          <w:bCs/>
          <w:sz w:val="32"/>
          <w:szCs w:val="32"/>
        </w:rPr>
        <w:t>实施北部地区污水处理站运行维护、稻香湖和翠湖片区循环补水管线建设、</w:t>
      </w:r>
      <w:r>
        <w:rPr>
          <w:rFonts w:hint="eastAsia" w:ascii="仿宋_GB2312" w:eastAsia="仿宋_GB2312" w:cs="仿宋_GB2312"/>
          <w:sz w:val="32"/>
          <w:szCs w:val="32"/>
        </w:rPr>
        <w:t>闫家洼排水渠治理</w:t>
      </w:r>
      <w:r>
        <w:rPr>
          <w:rFonts w:hint="eastAsia" w:ascii="仿宋_GB2312" w:hAnsi="仿宋_GB2312" w:eastAsia="仿宋_GB2312" w:cs="仿宋_GB2312"/>
          <w:bCs/>
          <w:sz w:val="32"/>
          <w:szCs w:val="32"/>
        </w:rPr>
        <w:t>等项目，</w:t>
      </w:r>
      <w:r>
        <w:rPr>
          <w:rFonts w:hint="eastAsia" w:ascii="仿宋_GB2312" w:eastAsia="仿宋_GB2312" w:cs="仿宋_GB2312"/>
          <w:sz w:val="32"/>
          <w:szCs w:val="32"/>
        </w:rPr>
        <w:t>水生态环境不断改善。</w:t>
      </w:r>
      <w:r>
        <w:rPr>
          <w:rFonts w:ascii="仿宋_GB2312" w:hAnsi="仿宋_GB2312" w:eastAsia="仿宋_GB2312" w:cs="仿宋_GB2312"/>
          <w:bCs/>
          <w:sz w:val="32"/>
          <w:szCs w:val="32"/>
        </w:rPr>
        <w:t>拨付</w:t>
      </w:r>
      <w:r>
        <w:rPr>
          <w:rFonts w:hint="eastAsia" w:ascii="仿宋_GB2312" w:eastAsia="仿宋_GB2312" w:cs="仿宋_GB2312"/>
          <w:sz w:val="32"/>
          <w:szCs w:val="32"/>
        </w:rPr>
        <w:t>资金7.6亿元，落实生态林补偿、园林绿地养护政策，巩固绿地提升改造、营林造林的绿化成果</w:t>
      </w:r>
      <w:r>
        <w:rPr>
          <w:rFonts w:hint="eastAsia" w:ascii="仿宋_GB2312" w:eastAsia="仿宋_GB2312"/>
          <w:sz w:val="32"/>
          <w:szCs w:val="32"/>
        </w:rPr>
        <w:t>，不断拓展绿色生态空间</w:t>
      </w:r>
      <w:r>
        <w:rPr>
          <w:rFonts w:hint="eastAsia" w:ascii="仿宋_GB2312" w:eastAsia="仿宋_GB2312" w:cs="仿宋_GB2312"/>
          <w:sz w:val="32"/>
          <w:szCs w:val="32"/>
        </w:rPr>
        <w:t>。</w:t>
      </w:r>
    </w:p>
    <w:p>
      <w:pPr>
        <w:tabs>
          <w:tab w:val="left" w:pos="3038"/>
        </w:tabs>
        <w:spacing w:line="560" w:lineRule="exact"/>
        <w:ind w:firstLine="643" w:firstLineChars="200"/>
        <w:rPr>
          <w:rFonts w:ascii="仿宋_GB2312" w:hAnsi="仿宋_GB2312" w:eastAsia="仿宋_GB2312" w:cs="仿宋_GB2312"/>
          <w:color w:val="000000"/>
          <w:sz w:val="32"/>
          <w:szCs w:val="32"/>
        </w:rPr>
      </w:pPr>
      <w:r>
        <w:rPr>
          <w:rFonts w:hint="eastAsia" w:ascii="仿宋_GB2312" w:eastAsia="仿宋_GB2312"/>
          <w:b/>
          <w:sz w:val="32"/>
          <w:szCs w:val="32"/>
        </w:rPr>
        <w:t>城市治理水平再上台阶。</w:t>
      </w:r>
      <w:r>
        <w:rPr>
          <w:rFonts w:ascii="仿宋_GB2312" w:hAnsi="仿宋_GB2312" w:eastAsia="仿宋_GB2312" w:cs="仿宋_GB2312"/>
          <w:bCs/>
          <w:sz w:val="32"/>
          <w:szCs w:val="32"/>
        </w:rPr>
        <w:t>拨付</w:t>
      </w:r>
      <w:r>
        <w:rPr>
          <w:rFonts w:hint="eastAsia" w:ascii="仿宋_GB2312" w:eastAsia="仿宋_GB2312" w:cs="仿宋_GB2312"/>
          <w:sz w:val="32"/>
          <w:szCs w:val="32"/>
        </w:rPr>
        <w:t>资金7.9亿元，以“城市大脑”建设为依托，加快推动大数据、人工智能、区块链等先进技术赋能城市管理。</w:t>
      </w:r>
      <w:r>
        <w:rPr>
          <w:rFonts w:hint="eastAsia" w:ascii="仿宋_GB2312" w:eastAsia="仿宋_GB2312" w:cs="仿宋_GB2312"/>
          <w:snapToGrid w:val="0"/>
          <w:kern w:val="0"/>
          <w:sz w:val="32"/>
          <w:szCs w:val="32"/>
        </w:rPr>
        <w:t>拨付街道体制补助资金56.9亿元、社会建设专项资金6380万元</w:t>
      </w:r>
      <w:r>
        <w:rPr>
          <w:rFonts w:hint="eastAsia" w:ascii="仿宋_GB2312" w:eastAsia="仿宋_GB2312"/>
          <w:sz w:val="32"/>
          <w:szCs w:val="32"/>
        </w:rPr>
        <w:t>，继续深化党建引领“吹哨报到”改革，完善“接诉即办”机制，加快推动城市治理体系和治理能力现代化。</w:t>
      </w:r>
      <w:r>
        <w:rPr>
          <w:rFonts w:ascii="仿宋_GB2312" w:hAnsi="仿宋_GB2312" w:eastAsia="仿宋_GB2312" w:cs="仿宋_GB2312"/>
          <w:bCs/>
          <w:sz w:val="32"/>
          <w:szCs w:val="32"/>
        </w:rPr>
        <w:t>拨付</w:t>
      </w:r>
      <w:r>
        <w:rPr>
          <w:rFonts w:hint="eastAsia" w:ascii="仿宋_GB2312" w:eastAsia="仿宋_GB2312" w:cs="仿宋_GB2312"/>
          <w:sz w:val="32"/>
          <w:szCs w:val="32"/>
        </w:rPr>
        <w:t>资金6.0亿元，</w:t>
      </w:r>
      <w:r>
        <w:rPr>
          <w:rFonts w:hint="eastAsia" w:ascii="仿宋_GB2312" w:eastAsia="仿宋_GB2312"/>
          <w:sz w:val="32"/>
          <w:szCs w:val="32"/>
        </w:rPr>
        <w:t>推进低值再生资源回收体系和建筑垃圾综合性循环利用处置体系建设</w:t>
      </w:r>
      <w:r>
        <w:rPr>
          <w:rFonts w:hint="eastAsia" w:ascii="仿宋_GB2312" w:hAnsi="仿宋_GB2312" w:eastAsia="仿宋_GB2312" w:cs="仿宋_GB2312"/>
          <w:color w:val="000000"/>
          <w:sz w:val="32"/>
          <w:szCs w:val="32"/>
        </w:rPr>
        <w:t>，打造</w:t>
      </w:r>
      <w:r>
        <w:rPr>
          <w:rFonts w:hint="eastAsia" w:ascii="仿宋_GB2312" w:eastAsia="仿宋_GB2312" w:cs="仿宋_GB2312"/>
          <w:sz w:val="32"/>
          <w:szCs w:val="32"/>
        </w:rPr>
        <w:t>垃圾</w:t>
      </w:r>
      <w:r>
        <w:rPr>
          <w:rFonts w:hint="eastAsia" w:ascii="仿宋_GB2312" w:hAnsi="仿宋_GB2312" w:eastAsia="仿宋_GB2312" w:cs="仿宋_GB2312"/>
          <w:color w:val="000000"/>
          <w:sz w:val="32"/>
          <w:szCs w:val="32"/>
        </w:rPr>
        <w:t>“分、收、运、处”</w:t>
      </w:r>
      <w:r>
        <w:rPr>
          <w:rFonts w:hint="eastAsia" w:ascii="仿宋_GB2312" w:eastAsia="仿宋_GB2312" w:cs="仿宋_GB2312"/>
          <w:sz w:val="32"/>
          <w:szCs w:val="32"/>
        </w:rPr>
        <w:t>全流程</w:t>
      </w:r>
      <w:r>
        <w:rPr>
          <w:rFonts w:hint="eastAsia" w:ascii="仿宋_GB2312" w:hAnsi="仿宋_GB2312" w:eastAsia="仿宋_GB2312" w:cs="仿宋_GB2312"/>
          <w:color w:val="000000"/>
          <w:sz w:val="32"/>
          <w:szCs w:val="32"/>
        </w:rPr>
        <w:t>闭合链条</w:t>
      </w:r>
      <w:r>
        <w:rPr>
          <w:rFonts w:hint="eastAsia" w:ascii="仿宋_GB2312" w:eastAsia="仿宋_GB2312"/>
          <w:sz w:val="32"/>
          <w:szCs w:val="32"/>
        </w:rPr>
        <w:t>，成功创建市级垃圾分类示范小区（村）</w:t>
      </w:r>
      <w:r>
        <w:rPr>
          <w:rFonts w:ascii="仿宋_GB2312" w:eastAsia="仿宋_GB2312"/>
          <w:sz w:val="32"/>
          <w:szCs w:val="32"/>
        </w:rPr>
        <w:t>43个，垃圾分类示范片区13个</w:t>
      </w:r>
      <w:r>
        <w:rPr>
          <w:rFonts w:hint="eastAsia" w:ascii="仿宋_GB2312" w:hAnsi="仿宋_GB2312" w:eastAsia="仿宋_GB2312" w:cs="仿宋_GB2312"/>
          <w:color w:val="000000"/>
          <w:sz w:val="32"/>
          <w:szCs w:val="32"/>
        </w:rPr>
        <w:t>。</w:t>
      </w:r>
    </w:p>
    <w:p>
      <w:pPr>
        <w:tabs>
          <w:tab w:val="left" w:pos="3038"/>
        </w:tabs>
        <w:spacing w:line="560" w:lineRule="exact"/>
        <w:ind w:firstLine="645"/>
        <w:rPr>
          <w:rFonts w:ascii="楷体_GB2312" w:eastAsia="楷体_GB2312"/>
          <w:bCs/>
          <w:sz w:val="32"/>
          <w:szCs w:val="32"/>
        </w:rPr>
      </w:pPr>
      <w:r>
        <w:rPr>
          <w:rFonts w:hint="eastAsia" w:ascii="楷体_GB2312" w:eastAsia="楷体_GB2312"/>
          <w:bCs/>
          <w:sz w:val="32"/>
          <w:szCs w:val="32"/>
        </w:rPr>
        <w:t>（三）以“服务人民”为宗旨，坚持夯实基础、持续加力，各领域社会民生福祉不断加强</w:t>
      </w:r>
    </w:p>
    <w:p>
      <w:pPr>
        <w:tabs>
          <w:tab w:val="left" w:pos="3038"/>
        </w:tabs>
        <w:spacing w:line="560" w:lineRule="exact"/>
        <w:ind w:firstLine="645"/>
        <w:rPr>
          <w:rFonts w:ascii="仿宋_GB2312" w:hAnsi="仿宋" w:eastAsia="仿宋_GB2312"/>
          <w:sz w:val="32"/>
          <w:szCs w:val="32"/>
        </w:rPr>
      </w:pPr>
      <w:r>
        <w:rPr>
          <w:rFonts w:hint="eastAsia" w:ascii="仿宋_GB2312" w:eastAsia="仿宋_GB2312"/>
          <w:b/>
          <w:sz w:val="32"/>
          <w:szCs w:val="32"/>
        </w:rPr>
        <w:t>促进教育高质量发展。</w:t>
      </w:r>
      <w:r>
        <w:rPr>
          <w:rFonts w:hint="eastAsia" w:ascii="仿宋_GB2312" w:hAnsi="仿宋" w:eastAsia="仿宋_GB2312"/>
          <w:sz w:val="32"/>
          <w:szCs w:val="32"/>
        </w:rPr>
        <w:t>拨付资金136.3亿元，支持“双新”示范区建设，持续增加优质教育资源供给。其中：拨付资金19.7亿元，继续落实学前教育三年行动计划，支持学前教育发展；拨付资金8.2亿元，支持海淀区中小学及幼儿园改扩建项目，全年新增中小学及普惠性学前学位5850个；拨付资金7.2亿元，发展“互联网+教育”、智能教育新模式，构建海淀特色智慧教育体系；拨付资金5.4亿元，推进“五育并举”人才培养模式改革，全面提升学生综合素养；拨付资金1.9亿元，稳步推进集团化办学模式创新，充分发挥优质校辐射带动作用。</w:t>
      </w:r>
    </w:p>
    <w:p>
      <w:pPr>
        <w:tabs>
          <w:tab w:val="left" w:pos="3038"/>
        </w:tabs>
        <w:spacing w:line="560" w:lineRule="exact"/>
        <w:ind w:firstLine="645"/>
        <w:rPr>
          <w:rFonts w:ascii="仿宋_GB2312" w:hAnsi="Calibri" w:eastAsia="仿宋_GB2312"/>
          <w:sz w:val="32"/>
          <w:szCs w:val="32"/>
        </w:rPr>
      </w:pPr>
      <w:r>
        <w:rPr>
          <w:rFonts w:hint="eastAsia" w:ascii="仿宋_GB2312" w:eastAsia="仿宋_GB2312"/>
          <w:b/>
          <w:sz w:val="32"/>
          <w:szCs w:val="32"/>
        </w:rPr>
        <w:t>持续提升文化软实力。</w:t>
      </w:r>
      <w:r>
        <w:rPr>
          <w:rFonts w:hint="eastAsia" w:ascii="仿宋_GB2312" w:hAnsi="Calibri" w:eastAsia="仿宋_GB2312"/>
          <w:sz w:val="32"/>
          <w:szCs w:val="32"/>
        </w:rPr>
        <w:t>拨付资金7.7亿元，支持公共文化设施品质提升，促进基层公共文化服务提质增效；打造海淀文化活动精品区，举办中关村舞剧节、亚洲数字艺术展等，扩大品牌活动的深度和广度；持续推进文物保护利用示范区创建，支持“三山五园”艺术中心建设，发挥区域旅游资源优势，探索创新文物保护新机制。拨付资金2.3亿元，抓好赛事服务与疫情防控，保障冬奥测试活动和测试赛顺利开展；深化全民健身公共服务，完善体育健身设施，丰富体育健身活动，营造全民健身良好氛围。</w:t>
      </w:r>
    </w:p>
    <w:p>
      <w:pPr>
        <w:tabs>
          <w:tab w:val="left" w:pos="3038"/>
        </w:tabs>
        <w:spacing w:line="560" w:lineRule="exact"/>
        <w:ind w:firstLine="643" w:firstLineChars="200"/>
        <w:rPr>
          <w:rFonts w:ascii="仿宋_GB2312" w:eastAsia="仿宋_GB2312" w:cs="仿宋_GB2312"/>
          <w:snapToGrid w:val="0"/>
          <w:kern w:val="0"/>
          <w:sz w:val="32"/>
          <w:szCs w:val="32"/>
        </w:rPr>
      </w:pPr>
      <w:r>
        <w:rPr>
          <w:rFonts w:hint="eastAsia" w:ascii="仿宋_GB2312" w:eastAsia="仿宋_GB2312"/>
          <w:b/>
          <w:sz w:val="32"/>
          <w:szCs w:val="32"/>
        </w:rPr>
        <w:t>切实提高社会保障水平。</w:t>
      </w:r>
      <w:r>
        <w:rPr>
          <w:rFonts w:hint="eastAsia" w:ascii="仿宋_GB2312" w:hAnsi="Calibri" w:eastAsia="仿宋_GB2312"/>
          <w:sz w:val="32"/>
          <w:szCs w:val="32"/>
        </w:rPr>
        <w:t>拨付资金121.2亿元，完善多层次社会保障体系建设。其中：拨付资金1.9亿元，支持各类就业新形态发展模式，健全就业帮扶机制，连续八年获评北京市充分就业区；拨付资金5.1亿元，不断完善养老服务体系，新增家庭养老照护床位13780张，社区养老服务驿站20家。拨付</w:t>
      </w:r>
      <w:r>
        <w:rPr>
          <w:rFonts w:hint="eastAsia" w:ascii="仿宋_GB2312" w:eastAsia="仿宋_GB2312" w:cs="仿宋_GB2312"/>
          <w:snapToGrid w:val="0"/>
          <w:kern w:val="0"/>
          <w:sz w:val="32"/>
          <w:szCs w:val="32"/>
        </w:rPr>
        <w:t>资金2.9亿元，用于鼓励残疾人就业、康复和无障碍环境改造等工作；拨付资金36.5亿元，落实城乡居民基本养老保险及行政事业单位养老保险财政补助政策；拨付资金66.5亿元，保障军队移交地方政府人员、退役军人及优抚对象等生活待遇。</w:t>
      </w:r>
    </w:p>
    <w:p>
      <w:pPr>
        <w:tabs>
          <w:tab w:val="left" w:pos="3038"/>
        </w:tabs>
        <w:spacing w:line="560" w:lineRule="exact"/>
        <w:ind w:firstLine="643" w:firstLineChars="200"/>
        <w:rPr>
          <w:rFonts w:ascii="仿宋_GB2312" w:hAnsi="Calibri" w:eastAsia="仿宋_GB2312"/>
          <w:sz w:val="32"/>
          <w:szCs w:val="32"/>
        </w:rPr>
      </w:pPr>
      <w:r>
        <w:rPr>
          <w:rFonts w:hint="eastAsia" w:ascii="仿宋_GB2312" w:eastAsia="仿宋_GB2312"/>
          <w:b/>
          <w:sz w:val="32"/>
          <w:szCs w:val="32"/>
        </w:rPr>
        <w:t>深入实施健康海淀行动。</w:t>
      </w:r>
      <w:r>
        <w:rPr>
          <w:rFonts w:hint="eastAsia" w:ascii="仿宋_GB2312" w:hAnsi="Calibri" w:eastAsia="仿宋_GB2312"/>
          <w:sz w:val="32"/>
          <w:szCs w:val="32"/>
        </w:rPr>
        <w:t>拨付资金43.7亿元，筑牢海淀区健康安全屏障。其中：拨付资金6.4亿元，建立常态化疫情防控长效机制，开展新冠病毒疫苗接种、核酸检测等工作，全区疫苗接种量793万支，新建11个急救工作站，提升应对突发公共卫生事件能力；拨付资金4.4亿元，支持公立医院综合改革，提升公立医院医疗服务与保障能力；拨付资金4.9亿元，深化医药卫生体制改革，完善分级诊疗体系，推进医联体建设，提升基层卫生服务能力；拨付资金24.5亿元，保障基本和重大公共卫生服务，落实基本医疗保险、医疗救助等各项保障政策。</w:t>
      </w:r>
    </w:p>
    <w:p>
      <w:pPr>
        <w:tabs>
          <w:tab w:val="left" w:pos="3038"/>
        </w:tabs>
        <w:spacing w:line="560" w:lineRule="exact"/>
        <w:ind w:firstLine="643" w:firstLineChars="200"/>
        <w:rPr>
          <w:rFonts w:ascii="仿宋_GB2312" w:eastAsia="仿宋_GB2312" w:cs="仿宋_GB2312"/>
          <w:sz w:val="32"/>
          <w:szCs w:val="32"/>
        </w:rPr>
      </w:pPr>
      <w:r>
        <w:rPr>
          <w:rFonts w:hint="eastAsia" w:ascii="仿宋_GB2312" w:eastAsia="仿宋_GB2312"/>
          <w:b/>
          <w:sz w:val="32"/>
          <w:szCs w:val="32"/>
        </w:rPr>
        <w:t>高水平建设平安海淀。</w:t>
      </w:r>
      <w:r>
        <w:rPr>
          <w:rFonts w:hint="eastAsia" w:ascii="仿宋_GB2312" w:eastAsia="仿宋_GB2312" w:cs="仿宋_GB2312"/>
          <w:sz w:val="32"/>
          <w:szCs w:val="32"/>
        </w:rPr>
        <w:t>拨付资金35.1亿元，进一步完善社会治安防控体系，加强市域社会治理试点建设工作，</w:t>
      </w:r>
      <w:r>
        <w:rPr>
          <w:rFonts w:hint="eastAsia" w:ascii="仿宋_GB2312" w:eastAsia="仿宋_GB2312"/>
          <w:sz w:val="32"/>
          <w:szCs w:val="32"/>
        </w:rPr>
        <w:t>巩固拓展扫黑除恶专项斗争成果，</w:t>
      </w:r>
      <w:r>
        <w:rPr>
          <w:rFonts w:hint="eastAsia" w:ascii="仿宋_GB2312" w:eastAsia="仿宋_GB2312" w:cs="仿宋_GB2312"/>
          <w:sz w:val="32"/>
          <w:szCs w:val="32"/>
        </w:rPr>
        <w:t>提高人民群众平安建设获得感。拨付矛盾纠纷排查调处专项、粮油物资储备专项、灾害防治及应急管理专项等6.9亿元，完善矛盾纠纷多元预防调处化解综合机制，健全信访制度，保障粮食供应安全，加强应急物资保障体系建设，突发事件应对能力稳步提升。</w:t>
      </w:r>
    </w:p>
    <w:p>
      <w:pPr>
        <w:tabs>
          <w:tab w:val="left" w:pos="3038"/>
        </w:tabs>
        <w:spacing w:line="560" w:lineRule="exact"/>
        <w:ind w:firstLine="640" w:firstLineChars="200"/>
        <w:rPr>
          <w:rFonts w:ascii="楷体_GB2312" w:eastAsia="楷体_GB2312"/>
          <w:bCs/>
          <w:sz w:val="32"/>
          <w:szCs w:val="32"/>
        </w:rPr>
      </w:pPr>
      <w:r>
        <w:rPr>
          <w:rFonts w:hint="eastAsia" w:ascii="楷体_GB2312" w:eastAsia="楷体_GB2312"/>
          <w:bCs/>
          <w:sz w:val="32"/>
          <w:szCs w:val="32"/>
        </w:rPr>
        <w:t>（四）以“提质增效”为目标，坚持重点突破、落地见效，精细化预算管理改革稳步推进</w:t>
      </w:r>
    </w:p>
    <w:p>
      <w:pPr>
        <w:tabs>
          <w:tab w:val="left" w:pos="3038"/>
        </w:tabs>
        <w:spacing w:line="560" w:lineRule="exact"/>
        <w:ind w:firstLine="643" w:firstLineChars="200"/>
        <w:rPr>
          <w:rFonts w:ascii="仿宋_GB2312" w:eastAsia="仿宋_GB2312"/>
          <w:bCs/>
          <w:sz w:val="32"/>
          <w:szCs w:val="32"/>
        </w:rPr>
      </w:pPr>
      <w:r>
        <w:rPr>
          <w:rFonts w:hint="eastAsia" w:ascii="仿宋_GB2312" w:eastAsia="仿宋_GB2312"/>
          <w:b/>
          <w:sz w:val="32"/>
          <w:szCs w:val="32"/>
        </w:rPr>
        <w:t>严格落实政府过“紧日子”要求。</w:t>
      </w:r>
      <w:r>
        <w:rPr>
          <w:rFonts w:hint="eastAsia" w:ascii="仿宋_GB2312" w:hAnsi="宋体" w:eastAsia="仿宋_GB2312"/>
          <w:b/>
          <w:sz w:val="32"/>
          <w:szCs w:val="32"/>
        </w:rPr>
        <w:t>一是</w:t>
      </w:r>
      <w:r>
        <w:rPr>
          <w:rFonts w:hint="eastAsia" w:ascii="仿宋_GB2312" w:hAnsi="宋体" w:eastAsia="仿宋_GB2312"/>
          <w:sz w:val="32"/>
          <w:szCs w:val="32"/>
        </w:rPr>
        <w:t>继续压减一般性支出。严格控制预算单位追加预算，新增需求在部门预算规模内调剂解决，并进一步压减非刚性、非重点支出。全年各部门内部调剂金额9.4亿元，累计压减支出4.0亿元，统筹用于全区重点项目。</w:t>
      </w:r>
      <w:r>
        <w:rPr>
          <w:rFonts w:hint="eastAsia" w:ascii="仿宋_GB2312" w:hAnsi="仿宋_GB2312" w:eastAsia="仿宋_GB2312" w:cs="仿宋_GB2312"/>
          <w:b/>
          <w:sz w:val="32"/>
          <w:szCs w:val="32"/>
        </w:rPr>
        <w:t>二是</w:t>
      </w:r>
      <w:r>
        <w:rPr>
          <w:rFonts w:hint="eastAsia" w:ascii="仿宋_GB2312" w:eastAsia="仿宋_GB2312"/>
          <w:bCs/>
          <w:sz w:val="32"/>
          <w:szCs w:val="32"/>
        </w:rPr>
        <w:t>开展结余资金清查清理工作。组织全区预算单位开展加油卡结余资金、财政代管结余资金，以及沉淀在区属企业、村委会、集体经济组织等非预算单位的财政性结余资金的清理工作，避免资金沉淀浪费。</w:t>
      </w:r>
      <w:r>
        <w:rPr>
          <w:rFonts w:hint="eastAsia" w:ascii="仿宋_GB2312" w:eastAsia="仿宋_GB2312"/>
          <w:b/>
          <w:sz w:val="32"/>
          <w:szCs w:val="32"/>
        </w:rPr>
        <w:t>三是</w:t>
      </w:r>
      <w:r>
        <w:rPr>
          <w:rFonts w:hint="eastAsia" w:ascii="仿宋_GB2312" w:eastAsia="仿宋_GB2312"/>
          <w:sz w:val="32"/>
          <w:szCs w:val="32"/>
        </w:rPr>
        <w:t>强化库款保障能力。定时测算库款评价指标，国库库款余额始终保持在合理范围内，前三季度库款考核综合得分在北京市各区中均位列第一名。</w:t>
      </w:r>
    </w:p>
    <w:p>
      <w:pPr>
        <w:widowControl/>
        <w:shd w:val="clear" w:color="auto" w:fill="FFFFFF"/>
        <w:tabs>
          <w:tab w:val="left" w:pos="3038"/>
        </w:tabs>
        <w:spacing w:line="560" w:lineRule="exact"/>
        <w:ind w:firstLine="643" w:firstLineChars="200"/>
        <w:rPr>
          <w:rFonts w:ascii="仿宋_GB2312" w:eastAsia="仿宋_GB2312"/>
          <w:b/>
          <w:sz w:val="32"/>
          <w:szCs w:val="32"/>
        </w:rPr>
      </w:pPr>
      <w:r>
        <w:rPr>
          <w:rFonts w:hint="eastAsia" w:ascii="仿宋_GB2312" w:eastAsia="仿宋_GB2312"/>
          <w:b/>
          <w:sz w:val="32"/>
          <w:szCs w:val="32"/>
        </w:rPr>
        <w:t>财政政策管理效能不断提升。</w:t>
      </w:r>
      <w:r>
        <w:rPr>
          <w:rFonts w:hint="eastAsia" w:ascii="仿宋_GB2312" w:hAnsi="宋体" w:eastAsia="仿宋_GB2312"/>
          <w:b/>
          <w:sz w:val="32"/>
          <w:szCs w:val="32"/>
        </w:rPr>
        <w:t>一是</w:t>
      </w:r>
      <w:r>
        <w:rPr>
          <w:rFonts w:hint="eastAsia" w:ascii="仿宋_GB2312" w:hAnsi="宋体" w:eastAsia="仿宋_GB2312"/>
          <w:sz w:val="32"/>
          <w:szCs w:val="32"/>
        </w:rPr>
        <w:t>强化预算执行刚性。修订《海淀区财政预决算编制及审批管理办法》，进一步规范预算调剂事项，审慎出台增支政策。</w:t>
      </w:r>
      <w:r>
        <w:rPr>
          <w:rFonts w:hint="eastAsia" w:ascii="仿宋_GB2312" w:eastAsia="仿宋_GB2312"/>
          <w:b/>
          <w:sz w:val="32"/>
          <w:szCs w:val="32"/>
        </w:rPr>
        <w:t>二是</w:t>
      </w:r>
      <w:r>
        <w:rPr>
          <w:rFonts w:hint="eastAsia" w:ascii="仿宋_GB2312" w:eastAsia="仿宋_GB2312"/>
          <w:sz w:val="32"/>
          <w:szCs w:val="32"/>
        </w:rPr>
        <w:t>不断健全财政评审工作机制，印发《海淀区财政预算项目评审管理办法》，同时完善财政项目评审信息系统，规范评审流程，强化评审结果应用。</w:t>
      </w:r>
      <w:r>
        <w:rPr>
          <w:rFonts w:hint="eastAsia" w:ascii="仿宋_GB2312" w:eastAsia="仿宋_GB2312"/>
          <w:b/>
          <w:sz w:val="32"/>
          <w:szCs w:val="32"/>
        </w:rPr>
        <w:t>三是</w:t>
      </w:r>
      <w:r>
        <w:rPr>
          <w:rFonts w:hint="eastAsia" w:ascii="仿宋_GB2312" w:eastAsia="仿宋_GB2312"/>
          <w:sz w:val="32"/>
          <w:szCs w:val="32"/>
        </w:rPr>
        <w:t>探索支出政策绩效评价，对单位招用农业户籍及农转非劳动力补贴等政策进行政策评价，将家庭养老照护床位建设专项经费纳入政策事前评估，关注政策运行情况，推动政策调整优化。</w:t>
      </w:r>
      <w:r>
        <w:rPr>
          <w:rFonts w:hint="eastAsia" w:ascii="仿宋_GB2312" w:eastAsia="仿宋_GB2312"/>
          <w:b/>
          <w:sz w:val="32"/>
          <w:szCs w:val="32"/>
        </w:rPr>
        <w:t>四是</w:t>
      </w:r>
      <w:r>
        <w:rPr>
          <w:rFonts w:hint="eastAsia" w:ascii="仿宋_GB2312" w:eastAsia="仿宋_GB2312"/>
          <w:sz w:val="32"/>
          <w:szCs w:val="32"/>
        </w:rPr>
        <w:t>配合人大开展支出政策审查工作，对支出政策进行梳理和分析，认真落实意见建议，不断完善支出政策管理机制。</w:t>
      </w:r>
    </w:p>
    <w:p>
      <w:pPr>
        <w:shd w:val="clear" w:color="auto" w:fill="FFFFFF"/>
        <w:tabs>
          <w:tab w:val="left" w:pos="3038"/>
        </w:tabs>
        <w:spacing w:line="560" w:lineRule="exact"/>
        <w:ind w:firstLine="643" w:firstLineChars="200"/>
        <w:rPr>
          <w:rFonts w:ascii="仿宋_GB2312" w:eastAsia="仿宋_GB2312"/>
          <w:sz w:val="32"/>
          <w:szCs w:val="32"/>
        </w:rPr>
      </w:pPr>
      <w:r>
        <w:rPr>
          <w:rFonts w:hint="eastAsia" w:ascii="仿宋_GB2312" w:eastAsia="仿宋_GB2312"/>
          <w:b/>
          <w:sz w:val="32"/>
          <w:szCs w:val="32"/>
        </w:rPr>
        <w:t>推进预算绩效管理提质增效。</w:t>
      </w:r>
      <w:r>
        <w:rPr>
          <w:rFonts w:hint="eastAsia" w:ascii="仿宋_GB2312" w:hAnsi="宋体" w:eastAsia="仿宋_GB2312"/>
          <w:kern w:val="0"/>
          <w:sz w:val="32"/>
          <w:szCs w:val="32"/>
        </w:rPr>
        <w:t>预算绩效管理政策逐步完善，“1个实施方案+1个主导性办法+多个实施细则”的预算绩效管理制度体系已经初步建成。</w:t>
      </w:r>
      <w:r>
        <w:rPr>
          <w:rFonts w:hint="eastAsia" w:ascii="仿宋_GB2312" w:hAnsi="宋体" w:eastAsia="仿宋_GB2312"/>
          <w:kern w:val="0"/>
          <w:sz w:val="32"/>
          <w:szCs w:val="32"/>
          <w:lang w:val="en-US" w:eastAsia="zh-CN"/>
        </w:rPr>
        <w:t>2021年</w:t>
      </w:r>
      <w:r>
        <w:rPr>
          <w:rFonts w:hint="eastAsia" w:ascii="仿宋_GB2312" w:eastAsia="仿宋_GB2312"/>
          <w:sz w:val="32"/>
          <w:lang w:val="en-US" w:eastAsia="zh-CN"/>
        </w:rPr>
        <w:t>选取45个项目开展财政评价，包括区人大重点项目、</w:t>
      </w:r>
      <w:bookmarkStart w:id="1" w:name="_GoBack"/>
      <w:bookmarkEnd w:id="1"/>
      <w:r>
        <w:rPr>
          <w:rFonts w:hint="eastAsia" w:ascii="仿宋_GB2312" w:eastAsia="仿宋_GB2312"/>
          <w:sz w:val="32"/>
          <w:lang w:val="en-US" w:eastAsia="zh-CN"/>
        </w:rPr>
        <w:t>政府购买服务项目、中央直达资金项目等，资金规模18.0亿元；项目自评实现全覆盖，完成101个项目自评报告；101个区级部门开展部门整体支出绩效自评；</w:t>
      </w:r>
      <w:r>
        <w:rPr>
          <w:rFonts w:hint="eastAsia" w:ascii="仿宋_GB2312" w:hAnsi="宋体" w:eastAsia="仿宋_GB2312"/>
          <w:kern w:val="0"/>
          <w:sz w:val="32"/>
          <w:szCs w:val="32"/>
          <w:lang w:val="en-US" w:eastAsia="zh-CN"/>
        </w:rPr>
        <w:t>对公共事业、水务、文体等领域6个项目开展全成本绩效分析；</w:t>
      </w:r>
      <w:r>
        <w:rPr>
          <w:rFonts w:hint="eastAsia" w:ascii="仿宋_GB2312" w:eastAsia="仿宋_GB2312"/>
          <w:sz w:val="32"/>
          <w:lang w:val="en-US" w:eastAsia="zh-CN"/>
        </w:rPr>
        <w:t>选取55个2022年部门预算项目进行事前绩效评估，资金规模6.1亿元，</w:t>
      </w:r>
      <w:r>
        <w:rPr>
          <w:rFonts w:hint="eastAsia" w:ascii="仿宋_GB2312" w:hAnsi="宋体" w:eastAsia="仿宋_GB2312"/>
          <w:kern w:val="0"/>
          <w:sz w:val="32"/>
          <w:szCs w:val="32"/>
        </w:rPr>
        <w:t>绩效</w:t>
      </w:r>
      <w:r>
        <w:rPr>
          <w:rFonts w:hint="eastAsia" w:ascii="仿宋_GB2312" w:hAnsi="宋体" w:eastAsia="仿宋_GB2312"/>
          <w:kern w:val="0"/>
          <w:sz w:val="32"/>
          <w:szCs w:val="32"/>
          <w:lang w:val="en-US" w:eastAsia="zh-CN"/>
        </w:rPr>
        <w:t>评价</w:t>
      </w:r>
      <w:r>
        <w:rPr>
          <w:rFonts w:hint="eastAsia" w:ascii="仿宋_GB2312" w:hAnsi="宋体" w:eastAsia="仿宋_GB2312"/>
          <w:kern w:val="0"/>
          <w:sz w:val="32"/>
          <w:szCs w:val="32"/>
        </w:rPr>
        <w:t>范围逐年扩大</w:t>
      </w:r>
      <w:r>
        <w:rPr>
          <w:rFonts w:hint="eastAsia" w:ascii="仿宋_GB2312" w:eastAsia="仿宋_GB2312"/>
          <w:sz w:val="32"/>
          <w:lang w:val="en-US" w:eastAsia="zh-CN"/>
        </w:rPr>
        <w:t>，</w:t>
      </w:r>
      <w:r>
        <w:rPr>
          <w:rFonts w:hint="eastAsia" w:ascii="仿宋_GB2312" w:hAnsi="宋体" w:eastAsia="仿宋_GB2312"/>
          <w:kern w:val="0"/>
          <w:sz w:val="32"/>
          <w:szCs w:val="32"/>
        </w:rPr>
        <w:t>全成本绩效</w:t>
      </w:r>
      <w:r>
        <w:rPr>
          <w:rFonts w:hint="eastAsia" w:ascii="仿宋_GB2312" w:hAnsi="宋体" w:eastAsia="仿宋_GB2312"/>
          <w:kern w:val="0"/>
          <w:sz w:val="32"/>
          <w:szCs w:val="32"/>
          <w:lang w:val="en-US" w:eastAsia="zh-CN"/>
        </w:rPr>
        <w:t>分析不断拓展</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助推海淀区财政运行状况和效能总指数在全市名列前茅。</w:t>
      </w:r>
    </w:p>
    <w:p>
      <w:pPr>
        <w:shd w:val="clear" w:color="auto" w:fill="FFFFFF"/>
        <w:tabs>
          <w:tab w:val="left" w:pos="3038"/>
        </w:tabs>
        <w:spacing w:line="560" w:lineRule="exact"/>
        <w:ind w:firstLine="643" w:firstLineChars="200"/>
        <w:rPr>
          <w:rFonts w:ascii="仿宋_GB2312" w:eastAsia="仿宋_GB2312"/>
          <w:sz w:val="32"/>
          <w:szCs w:val="32"/>
        </w:rPr>
      </w:pPr>
      <w:r>
        <w:rPr>
          <w:rFonts w:hint="eastAsia" w:ascii="仿宋_GB2312" w:eastAsia="仿宋_GB2312"/>
          <w:b/>
          <w:sz w:val="32"/>
          <w:szCs w:val="32"/>
        </w:rPr>
        <w:t>坚决防范化解财政金融风险。</w:t>
      </w:r>
      <w:r>
        <w:rPr>
          <w:rFonts w:hint="eastAsia" w:ascii="仿宋_GB2312" w:eastAsia="仿宋_GB2312"/>
          <w:sz w:val="32"/>
          <w:szCs w:val="32"/>
        </w:rPr>
        <w:t>积极申请政府债券资金，</w:t>
      </w:r>
      <w:r>
        <w:rPr>
          <w:rFonts w:hint="eastAsia" w:ascii="仿宋_GB2312" w:hAnsi="宋体" w:eastAsia="仿宋_GB2312" w:cs="宋体"/>
          <w:kern w:val="0"/>
          <w:sz w:val="32"/>
          <w:szCs w:val="32"/>
        </w:rPr>
        <w:t>为“三山五园”地区环境整治、“两区”建设等重大项目提供有力保障</w:t>
      </w:r>
      <w:r>
        <w:rPr>
          <w:rFonts w:hint="eastAsia" w:ascii="仿宋_GB2312" w:eastAsia="仿宋_GB2312"/>
          <w:sz w:val="32"/>
          <w:szCs w:val="32"/>
        </w:rPr>
        <w:t>。进一步完善我区政府债券管理体系，</w:t>
      </w:r>
      <w:r>
        <w:rPr>
          <w:rFonts w:hint="eastAsia" w:ascii="仿宋_GB2312" w:hAnsi="宋体" w:eastAsia="仿宋_GB2312"/>
          <w:sz w:val="32"/>
          <w:szCs w:val="32"/>
        </w:rPr>
        <w:t>制订《海淀区政府债券资金全过程管理办法（试行）》，从“借、用、管、还”各环节提高债券管理的规范化、精细化水平。积极落实债券资金的长效管理要求，建立支出月报机制，坚决遏制隐性债务增量，稳妥化解隐性债务存量，着力防范地方政府债务风险。</w:t>
      </w:r>
    </w:p>
    <w:p>
      <w:pPr>
        <w:tabs>
          <w:tab w:val="left" w:pos="3038"/>
        </w:tabs>
        <w:spacing w:line="560" w:lineRule="exact"/>
        <w:ind w:firstLine="643" w:firstLineChars="200"/>
        <w:rPr>
          <w:rFonts w:ascii="仿宋_GB2312" w:hAnsi="仿宋" w:eastAsia="仿宋_GB2312"/>
          <w:sz w:val="32"/>
          <w:szCs w:val="32"/>
        </w:rPr>
      </w:pPr>
      <w:r>
        <w:rPr>
          <w:rFonts w:hint="eastAsia" w:ascii="仿宋_GB2312" w:eastAsia="仿宋_GB2312"/>
          <w:b/>
          <w:sz w:val="32"/>
          <w:szCs w:val="32"/>
        </w:rPr>
        <w:t>大力发挥政府采购导向功能。</w:t>
      </w:r>
      <w:r>
        <w:rPr>
          <w:rFonts w:hint="eastAsia" w:ascii="仿宋_GB2312" w:hAnsi="黑体" w:eastAsia="仿宋_GB2312" w:cs="宋体"/>
          <w:kern w:val="0"/>
          <w:sz w:val="32"/>
          <w:szCs w:val="32"/>
        </w:rPr>
        <w:t>严格落实北京市财政局关于进一步优化政府采购营商环境的要求，加速电子卖场、电子交易系统的推广和使用；</w:t>
      </w:r>
      <w:r>
        <w:rPr>
          <w:rFonts w:hint="eastAsia" w:ascii="仿宋_GB2312" w:hAnsi="黑体" w:eastAsia="仿宋_GB2312"/>
          <w:sz w:val="32"/>
          <w:szCs w:val="32"/>
        </w:rPr>
        <w:t>严格依法办事，处理政府采购投诉、举报事项11起</w:t>
      </w:r>
      <w:r>
        <w:rPr>
          <w:rFonts w:hint="eastAsia" w:ascii="仿宋_GB2312" w:hAnsi="黑体" w:eastAsia="仿宋_GB2312" w:cs="宋体"/>
          <w:kern w:val="0"/>
          <w:sz w:val="32"/>
          <w:szCs w:val="32"/>
        </w:rPr>
        <w:t>，助力优化营商环境。同时，</w:t>
      </w:r>
      <w:r>
        <w:rPr>
          <w:rFonts w:hint="eastAsia" w:ascii="仿宋_GB2312" w:hAnsi="仿宋" w:eastAsia="仿宋_GB2312"/>
          <w:sz w:val="32"/>
          <w:szCs w:val="32"/>
        </w:rPr>
        <w:t>运用政府采购政策支持乡村产业振兴，</w:t>
      </w:r>
      <w:r>
        <w:rPr>
          <w:rFonts w:hint="eastAsia" w:ascii="仿宋_GB2312" w:hAnsi="黑体" w:eastAsia="仿宋_GB2312" w:cs="宋体"/>
          <w:kern w:val="0"/>
          <w:sz w:val="32"/>
          <w:szCs w:val="32"/>
        </w:rPr>
        <w:t>继续落实财政部关于组织预算单位做好脱贫地区政府采购农副产品相关工作要求，积极</w:t>
      </w:r>
      <w:r>
        <w:rPr>
          <w:rFonts w:hint="eastAsia" w:ascii="仿宋_GB2312" w:hAnsi="仿宋" w:eastAsia="仿宋_GB2312"/>
          <w:sz w:val="32"/>
          <w:szCs w:val="32"/>
        </w:rPr>
        <w:t>巩固脱贫攻坚工作成果，全区预算单位共计采购农副产品2118万元。</w:t>
      </w:r>
    </w:p>
    <w:p>
      <w:pPr>
        <w:pBdr>
          <w:bottom w:val="single" w:color="FFFFFF" w:sz="4" w:space="17"/>
        </w:pBdr>
        <w:tabs>
          <w:tab w:val="left" w:pos="3038"/>
        </w:tabs>
        <w:spacing w:line="560" w:lineRule="exact"/>
        <w:ind w:firstLine="640" w:firstLineChars="2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各位代表，2021</w:t>
      </w:r>
      <w:r>
        <w:rPr>
          <w:rFonts w:ascii="仿宋_GB2312" w:eastAsia="仿宋_GB2312" w:cs="仿宋_GB2312"/>
          <w:snapToGrid w:val="0"/>
          <w:kern w:val="0"/>
          <w:sz w:val="32"/>
          <w:szCs w:val="32"/>
        </w:rPr>
        <w:t>年</w:t>
      </w:r>
      <w:r>
        <w:rPr>
          <w:rFonts w:hint="eastAsia" w:ascii="仿宋_GB2312" w:eastAsia="仿宋_GB2312" w:cs="仿宋_GB2312"/>
          <w:snapToGrid w:val="0"/>
          <w:kern w:val="0"/>
          <w:sz w:val="32"/>
          <w:szCs w:val="32"/>
        </w:rPr>
        <w:t>，在财政收支紧平衡的形势下，我们认真落实中央、北京市及区委、区政府的各项部署，牢固树立艰苦奋斗、勤俭节约思想，积极发挥财政职能作用，妥善应对收入平均增速放缓、支出继续刚性增长的财政运行态势变化，不断增强财政政策的灵活性、精准性、有效性，打好“</w:t>
      </w:r>
      <w:r>
        <w:rPr>
          <w:rFonts w:hint="eastAsia" w:ascii="仿宋_GB2312" w:eastAsia="仿宋_GB2312" w:cs="仿宋_GB2312"/>
          <w:b/>
          <w:snapToGrid w:val="0"/>
          <w:kern w:val="0"/>
          <w:sz w:val="32"/>
          <w:szCs w:val="32"/>
        </w:rPr>
        <w:t>压一般”“保重点”“提绩效”“防风险”</w:t>
      </w:r>
      <w:r>
        <w:rPr>
          <w:rFonts w:hint="eastAsia" w:ascii="仿宋_GB2312" w:eastAsia="仿宋_GB2312" w:cs="仿宋_GB2312"/>
          <w:snapToGrid w:val="0"/>
          <w:kern w:val="0"/>
          <w:sz w:val="32"/>
          <w:szCs w:val="32"/>
        </w:rPr>
        <w:t>组合拳，全力做好“六稳”“六保”工作，全区预算执行总体平稳，财政改革取得新进展。同时，我们也清醒地认识到，全区财政运行仍面临诸多问题和挑战：</w:t>
      </w:r>
    </w:p>
    <w:p>
      <w:pPr>
        <w:pBdr>
          <w:bottom w:val="single" w:color="FFFFFF" w:sz="4" w:space="17"/>
        </w:pBdr>
        <w:tabs>
          <w:tab w:val="left" w:pos="3038"/>
        </w:tabs>
        <w:spacing w:line="560" w:lineRule="exact"/>
        <w:ind w:firstLine="643" w:firstLineChars="200"/>
        <w:rPr>
          <w:rFonts w:ascii="仿宋_GB2312" w:eastAsia="仿宋_GB2312" w:cs="仿宋_GB2312"/>
          <w:sz w:val="32"/>
          <w:szCs w:val="32"/>
        </w:rPr>
      </w:pPr>
      <w:r>
        <w:rPr>
          <w:rFonts w:hint="eastAsia" w:ascii="仿宋_GB2312" w:eastAsia="仿宋_GB2312" w:cs="仿宋_GB2312"/>
          <w:b/>
          <w:snapToGrid w:val="0"/>
          <w:kern w:val="0"/>
          <w:sz w:val="32"/>
          <w:szCs w:val="32"/>
        </w:rPr>
        <w:t>一是</w:t>
      </w:r>
      <w:r>
        <w:rPr>
          <w:rFonts w:hint="eastAsia" w:ascii="仿宋_GB2312" w:eastAsia="仿宋_GB2312" w:cs="仿宋_GB2312"/>
          <w:snapToGrid w:val="0"/>
          <w:kern w:val="0"/>
          <w:sz w:val="32"/>
          <w:szCs w:val="32"/>
        </w:rPr>
        <w:t>财政收支“紧平衡”格局短期内不会改变。</w:t>
      </w:r>
      <w:r>
        <w:rPr>
          <w:rFonts w:hint="eastAsia" w:ascii="仿宋_GB2312" w:eastAsia="仿宋_GB2312" w:cs="仿宋_GB2312"/>
          <w:sz w:val="32"/>
          <w:szCs w:val="32"/>
        </w:rPr>
        <w:t>2021年收入形势好于预期，但剔除市区比例分成调整等因素，部分企业、行业税收收入尚未恢复至疫情前水平，且受疫情防控形势复杂，“双减”政策出台等多重因素影响，收入可持续增长仍面临很大压力。同时，兜牢“三保”底线等刚性支出呈持续增长态势，财政收支矛盾依然突出。</w:t>
      </w:r>
    </w:p>
    <w:p>
      <w:pPr>
        <w:pBdr>
          <w:bottom w:val="single" w:color="FFFFFF" w:sz="4" w:space="17"/>
        </w:pBdr>
        <w:tabs>
          <w:tab w:val="left" w:pos="3038"/>
        </w:tabs>
        <w:spacing w:line="560" w:lineRule="exact"/>
        <w:ind w:firstLine="643" w:firstLineChars="200"/>
        <w:rPr>
          <w:rFonts w:ascii="仿宋_GB2312" w:eastAsia="仿宋_GB2312" w:cs="仿宋_GB2312"/>
          <w:snapToGrid w:val="0"/>
          <w:kern w:val="0"/>
          <w:sz w:val="32"/>
          <w:szCs w:val="32"/>
        </w:rPr>
      </w:pPr>
      <w:r>
        <w:rPr>
          <w:rFonts w:hint="eastAsia" w:ascii="仿宋_GB2312" w:eastAsia="仿宋_GB2312" w:cs="仿宋_GB2312"/>
          <w:b/>
          <w:snapToGrid w:val="0"/>
          <w:kern w:val="0"/>
          <w:sz w:val="32"/>
          <w:szCs w:val="32"/>
        </w:rPr>
        <w:t>二是</w:t>
      </w:r>
      <w:r>
        <w:rPr>
          <w:rFonts w:hint="eastAsia" w:ascii="仿宋_GB2312" w:eastAsia="仿宋_GB2312" w:cs="仿宋_GB2312"/>
          <w:snapToGrid w:val="0"/>
          <w:kern w:val="0"/>
          <w:sz w:val="32"/>
          <w:szCs w:val="32"/>
        </w:rPr>
        <w:t>预算单位过“紧日子”的意识尚未牢固树立。虽然已在预算编制中推行“零基预算”，但部分单位仍存在预算编制不够科学精细、支出结构固化</w:t>
      </w:r>
      <w:r>
        <w:rPr>
          <w:rFonts w:hint="eastAsia" w:ascii="仿宋_GB2312" w:hAnsi="宋体" w:eastAsia="仿宋_GB2312" w:cs="宋体"/>
          <w:color w:val="000000"/>
          <w:kern w:val="0"/>
          <w:sz w:val="32"/>
          <w:szCs w:val="32"/>
        </w:rPr>
        <w:t>、结余资金沉淀较多</w:t>
      </w:r>
      <w:r>
        <w:rPr>
          <w:rFonts w:hint="eastAsia" w:ascii="仿宋_GB2312" w:eastAsia="仿宋_GB2312" w:cs="仿宋_GB2312"/>
          <w:snapToGrid w:val="0"/>
          <w:kern w:val="0"/>
          <w:sz w:val="32"/>
          <w:szCs w:val="32"/>
        </w:rPr>
        <w:t>、重支出轻绩效等问题，导致在收支矛盾严峻的形势下，财政统筹调控能力有限，财政资源配置效率有待提高。</w:t>
      </w:r>
    </w:p>
    <w:p>
      <w:pPr>
        <w:pBdr>
          <w:bottom w:val="single" w:color="FFFFFF" w:sz="4" w:space="17"/>
        </w:pBdr>
        <w:tabs>
          <w:tab w:val="left" w:pos="3038"/>
        </w:tabs>
        <w:spacing w:line="560" w:lineRule="exact"/>
        <w:ind w:firstLine="643" w:firstLineChars="200"/>
        <w:rPr>
          <w:rFonts w:ascii="仿宋_GB2312" w:eastAsia="仿宋_GB2312" w:cs="仿宋_GB2312"/>
          <w:snapToGrid w:val="0"/>
          <w:kern w:val="0"/>
          <w:sz w:val="32"/>
          <w:szCs w:val="32"/>
        </w:rPr>
      </w:pPr>
      <w:r>
        <w:rPr>
          <w:rFonts w:hint="eastAsia" w:ascii="仿宋_GB2312" w:eastAsia="仿宋_GB2312" w:cs="仿宋_GB2312"/>
          <w:b/>
          <w:snapToGrid w:val="0"/>
          <w:kern w:val="0"/>
          <w:sz w:val="32"/>
          <w:szCs w:val="32"/>
        </w:rPr>
        <w:t>三是</w:t>
      </w:r>
      <w:r>
        <w:rPr>
          <w:rFonts w:hint="eastAsia" w:ascii="仿宋_GB2312" w:eastAsia="仿宋_GB2312" w:cs="仿宋_GB2312"/>
          <w:snapToGrid w:val="0"/>
          <w:kern w:val="0"/>
          <w:sz w:val="32"/>
          <w:szCs w:val="32"/>
        </w:rPr>
        <w:t>财政支出政策管理有待加强。支出政策管理涉及范围广泛，横向上涵盖民生、社会事业、产业发展等方面，纵向上涉及政策制定、执行监督、效果评价等。尽管我区已经建立了财政支出政策库，但是对支出政策管理的精细化程度不足，缺乏系统全面的梳理和分析，部分补贴类政策缺少资金监管或退出机制，监督管理和考核评价体系还需逐步完善，支出政策在优化资源配置方面的积极作用尚未充分体现。</w:t>
      </w:r>
    </w:p>
    <w:p>
      <w:pPr>
        <w:pBdr>
          <w:bottom w:val="single" w:color="FFFFFF" w:sz="4" w:space="17"/>
        </w:pBdr>
        <w:tabs>
          <w:tab w:val="left" w:pos="3038"/>
        </w:tabs>
        <w:spacing w:line="560" w:lineRule="exact"/>
        <w:ind w:firstLine="640" w:firstLineChars="2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针对上述问题，恳请各位代表在审议过程中提出宝贵意见和建议。</w:t>
      </w:r>
    </w:p>
    <w:p>
      <w:pPr>
        <w:tabs>
          <w:tab w:val="left" w:pos="3038"/>
        </w:tabs>
        <w:snapToGrid w:val="0"/>
        <w:spacing w:line="560" w:lineRule="exact"/>
        <w:jc w:val="center"/>
        <w:rPr>
          <w:rFonts w:ascii="黑体" w:eastAsia="黑体"/>
          <w:snapToGrid w:val="0"/>
          <w:kern w:val="0"/>
          <w:sz w:val="36"/>
          <w:szCs w:val="36"/>
        </w:rPr>
      </w:pPr>
      <w:r>
        <w:rPr>
          <w:rFonts w:hint="eastAsia" w:ascii="黑体" w:eastAsia="黑体" w:cs="黑体"/>
          <w:snapToGrid w:val="0"/>
          <w:kern w:val="0"/>
          <w:sz w:val="36"/>
          <w:szCs w:val="36"/>
        </w:rPr>
        <w:t>第二部分</w:t>
      </w:r>
      <w:r>
        <w:rPr>
          <w:rFonts w:ascii="黑体" w:eastAsia="黑体" w:cs="黑体"/>
          <w:snapToGrid w:val="0"/>
          <w:kern w:val="0"/>
          <w:sz w:val="36"/>
          <w:szCs w:val="36"/>
        </w:rPr>
        <w:t xml:space="preserve">  20</w:t>
      </w:r>
      <w:r>
        <w:rPr>
          <w:rFonts w:hint="eastAsia" w:ascii="黑体" w:eastAsia="黑体" w:cs="黑体"/>
          <w:snapToGrid w:val="0"/>
          <w:kern w:val="0"/>
          <w:sz w:val="36"/>
          <w:szCs w:val="36"/>
        </w:rPr>
        <w:t>22</w:t>
      </w:r>
      <w:r>
        <w:rPr>
          <w:rFonts w:ascii="黑体" w:eastAsia="黑体" w:cs="黑体"/>
          <w:snapToGrid w:val="0"/>
          <w:kern w:val="0"/>
          <w:sz w:val="36"/>
          <w:szCs w:val="36"/>
        </w:rPr>
        <w:t>年</w:t>
      </w:r>
      <w:r>
        <w:rPr>
          <w:rFonts w:hint="eastAsia" w:ascii="黑体" w:eastAsia="黑体" w:cs="黑体"/>
          <w:snapToGrid w:val="0"/>
          <w:kern w:val="0"/>
          <w:sz w:val="36"/>
          <w:szCs w:val="36"/>
        </w:rPr>
        <w:t>预算草案</w:t>
      </w:r>
    </w:p>
    <w:p>
      <w:pPr>
        <w:tabs>
          <w:tab w:val="left" w:pos="3038"/>
        </w:tabs>
        <w:snapToGrid w:val="0"/>
        <w:spacing w:line="560" w:lineRule="exact"/>
        <w:jc w:val="center"/>
        <w:rPr>
          <w:rFonts w:ascii="黑体" w:eastAsia="黑体"/>
          <w:snapToGrid w:val="0"/>
          <w:kern w:val="0"/>
          <w:sz w:val="32"/>
          <w:szCs w:val="32"/>
        </w:rPr>
      </w:pPr>
    </w:p>
    <w:p>
      <w:pPr>
        <w:tabs>
          <w:tab w:val="left" w:pos="3038"/>
        </w:tabs>
        <w:topLinePunct/>
        <w:adjustRightInd w:val="0"/>
        <w:snapToGrid w:val="0"/>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一、</w:t>
      </w:r>
      <w:r>
        <w:rPr>
          <w:rFonts w:ascii="黑体" w:hAnsi="黑体" w:eastAsia="黑体" w:cs="黑体"/>
          <w:snapToGrid w:val="0"/>
          <w:kern w:val="0"/>
          <w:sz w:val="32"/>
          <w:szCs w:val="32"/>
        </w:rPr>
        <w:t>20</w:t>
      </w:r>
      <w:r>
        <w:rPr>
          <w:rFonts w:hint="eastAsia" w:ascii="黑体" w:hAnsi="黑体" w:eastAsia="黑体" w:cs="黑体"/>
          <w:snapToGrid w:val="0"/>
          <w:kern w:val="0"/>
          <w:sz w:val="32"/>
          <w:szCs w:val="32"/>
        </w:rPr>
        <w:t>22</w:t>
      </w:r>
      <w:r>
        <w:rPr>
          <w:rFonts w:ascii="黑体" w:hAnsi="黑体" w:eastAsia="黑体" w:cs="黑体"/>
          <w:snapToGrid w:val="0"/>
          <w:kern w:val="0"/>
          <w:sz w:val="32"/>
          <w:szCs w:val="32"/>
        </w:rPr>
        <w:t>年</w:t>
      </w:r>
      <w:r>
        <w:rPr>
          <w:rFonts w:hint="eastAsia" w:ascii="黑体" w:hAnsi="黑体" w:eastAsia="黑体" w:cs="黑体"/>
          <w:snapToGrid w:val="0"/>
          <w:kern w:val="0"/>
          <w:sz w:val="32"/>
          <w:szCs w:val="32"/>
        </w:rPr>
        <w:t>预算安排的指导思想和举措</w:t>
      </w:r>
    </w:p>
    <w:p>
      <w:pPr>
        <w:tabs>
          <w:tab w:val="left" w:pos="3038"/>
        </w:tabs>
        <w:spacing w:line="560" w:lineRule="exact"/>
        <w:ind w:firstLine="640" w:firstLineChars="200"/>
        <w:rPr>
          <w:rFonts w:ascii="仿宋_GB2312" w:hAnsi="Arial" w:eastAsia="仿宋_GB2312"/>
          <w:kern w:val="0"/>
          <w:sz w:val="32"/>
          <w:szCs w:val="32"/>
        </w:rPr>
      </w:pPr>
      <w:r>
        <w:rPr>
          <w:rFonts w:hint="eastAsia" w:ascii="黑体" w:hAnsi="黑体" w:eastAsia="黑体" w:cs="黑体"/>
          <w:snapToGrid w:val="0"/>
          <w:kern w:val="0"/>
          <w:sz w:val="32"/>
          <w:szCs w:val="32"/>
        </w:rPr>
        <w:t>2022年预算安排的指导思想是：</w:t>
      </w:r>
      <w:r>
        <w:rPr>
          <w:rFonts w:hint="eastAsia" w:ascii="仿宋_GB2312" w:hAnsi="Arial" w:eastAsia="仿宋_GB2312"/>
          <w:kern w:val="0"/>
          <w:sz w:val="32"/>
          <w:szCs w:val="32"/>
        </w:rPr>
        <w:t>以习近平新时代中国特色社会主义思想为指导，全面贯彻党的十九大和十九届二中、三中、四中、五中、六中全会及中央经济工作会议精神，坚决落实市区两级决策部署，以“两新两高”战略为引领，</w:t>
      </w:r>
      <w:r>
        <w:rPr>
          <w:rFonts w:hint="eastAsia" w:ascii="仿宋_GB2312" w:hAnsi="Heiti SC Light" w:eastAsia="仿宋_GB2312" w:cs="Heiti SC Light"/>
          <w:sz w:val="32"/>
          <w:szCs w:val="32"/>
        </w:rPr>
        <w:t>坚持稳中求进工作总基调，</w:t>
      </w:r>
      <w:r>
        <w:rPr>
          <w:rFonts w:hint="eastAsia" w:ascii="仿宋_GB2312" w:eastAsia="仿宋_GB2312" w:cs="仿宋_GB2312"/>
          <w:snapToGrid w:val="0"/>
          <w:kern w:val="0"/>
          <w:sz w:val="32"/>
          <w:szCs w:val="32"/>
        </w:rPr>
        <w:t>认真贯彻落实“积极的财政政策要提升效能，更加注重精准、可持续”的要求，</w:t>
      </w:r>
      <w:r>
        <w:rPr>
          <w:rFonts w:hint="eastAsia" w:ascii="仿宋_GB2312" w:hAnsi="Heiti SC Light" w:eastAsia="仿宋_GB2312" w:cs="Heiti SC Light"/>
          <w:sz w:val="32"/>
          <w:szCs w:val="32"/>
        </w:rPr>
        <w:t>坚持以政领财、以财辅政，强化公共财政属性，</w:t>
      </w:r>
      <w:r>
        <w:rPr>
          <w:rFonts w:hint="eastAsia" w:ascii="仿宋_GB2312" w:hAnsi="Arial" w:eastAsia="仿宋_GB2312"/>
          <w:kern w:val="0"/>
          <w:sz w:val="32"/>
          <w:szCs w:val="32"/>
        </w:rPr>
        <w:t>增强财政综合实力，全面深化各项财政管理体制改革，为推进区域创新和跨越式高质量发展提供坚实的保障。</w:t>
      </w:r>
    </w:p>
    <w:p>
      <w:pPr>
        <w:tabs>
          <w:tab w:val="left" w:pos="3038"/>
        </w:tabs>
        <w:spacing w:line="560" w:lineRule="exact"/>
        <w:ind w:firstLine="640" w:firstLineChars="200"/>
        <w:rPr>
          <w:rFonts w:ascii="仿宋_GB2312" w:eastAsia="仿宋_GB2312"/>
          <w:bCs/>
          <w:snapToGrid w:val="0"/>
          <w:sz w:val="32"/>
          <w:szCs w:val="32"/>
        </w:rPr>
      </w:pPr>
      <w:r>
        <w:rPr>
          <w:rFonts w:hint="eastAsia" w:ascii="仿宋_GB2312" w:eastAsia="仿宋_GB2312" w:cs="仿宋_GB2312"/>
          <w:snapToGrid w:val="0"/>
          <w:sz w:val="32"/>
          <w:szCs w:val="32"/>
        </w:rPr>
        <w:t>2022年预算编制工作，我们坚持量入为出、以收定支，切实把政府过“紧日子”作为预算编制的主基调，从四个方面发力，不断提高财政政策效能和资金绩效。</w:t>
      </w:r>
      <w:r>
        <w:rPr>
          <w:rFonts w:hint="eastAsia" w:ascii="仿宋_GB2312" w:eastAsia="仿宋_GB2312" w:cs="仿宋_GB2312"/>
          <w:b/>
          <w:snapToGrid w:val="0"/>
          <w:sz w:val="32"/>
          <w:szCs w:val="32"/>
        </w:rPr>
        <w:t>一是聚焦“大事要事”，优先保障民生福祉。</w:t>
      </w:r>
      <w:r>
        <w:rPr>
          <w:rFonts w:hint="eastAsia" w:ascii="仿宋_GB2312" w:eastAsia="仿宋_GB2312" w:cs="仿宋_GB2312"/>
          <w:snapToGrid w:val="0"/>
          <w:sz w:val="32"/>
          <w:szCs w:val="32"/>
        </w:rPr>
        <w:t>加强支出预算与区“十四五”规划的有效衔接，按照项目轻重缓急、成熟程度及绩效评估等情况建立预算申报项目排序机制，集中财力优先保障疫情防控、“六稳”“六保”、经济高质量发展等区委、区政府重点项目。</w:t>
      </w:r>
      <w:r>
        <w:rPr>
          <w:rFonts w:hint="eastAsia" w:ascii="仿宋_GB2312" w:eastAsia="仿宋_GB2312" w:cs="仿宋_GB2312"/>
          <w:b/>
          <w:snapToGrid w:val="0"/>
          <w:sz w:val="32"/>
          <w:szCs w:val="32"/>
        </w:rPr>
        <w:t>二是聚焦“资源统筹”，优化财政收支结构。</w:t>
      </w:r>
      <w:r>
        <w:rPr>
          <w:rFonts w:hint="eastAsia" w:ascii="仿宋_GB2312" w:eastAsia="仿宋_GB2312" w:cs="仿宋_GB2312"/>
          <w:snapToGrid w:val="0"/>
          <w:sz w:val="32"/>
          <w:szCs w:val="32"/>
        </w:rPr>
        <w:t>不断提升财源质量，提高收入可持续性；</w:t>
      </w:r>
      <w:r>
        <w:rPr>
          <w:rFonts w:hint="eastAsia" w:ascii="仿宋_GB2312" w:eastAsia="仿宋_GB2312"/>
          <w:sz w:val="32"/>
          <w:szCs w:val="32"/>
        </w:rPr>
        <w:t>推行“零基预算”理念，</w:t>
      </w:r>
      <w:r>
        <w:rPr>
          <w:rFonts w:hint="eastAsia" w:ascii="仿宋_GB2312" w:eastAsia="仿宋_GB2312"/>
          <w:bCs/>
          <w:snapToGrid w:val="0"/>
          <w:sz w:val="32"/>
          <w:szCs w:val="32"/>
        </w:rPr>
        <w:t>加大资金统筹力度</w:t>
      </w:r>
      <w:r>
        <w:rPr>
          <w:rFonts w:hint="eastAsia" w:ascii="仿宋_GB2312" w:eastAsia="仿宋_GB2312" w:cs="仿宋_GB2312"/>
          <w:snapToGrid w:val="0"/>
          <w:sz w:val="32"/>
          <w:szCs w:val="32"/>
        </w:rPr>
        <w:t>；着力盘活存量资金资产，缓解财政收支压力；严格落实政府过“紧日子”要求，压减</w:t>
      </w:r>
      <w:r>
        <w:rPr>
          <w:rFonts w:hint="eastAsia" w:ascii="仿宋_GB2312" w:eastAsia="仿宋_GB2312"/>
          <w:bCs/>
          <w:snapToGrid w:val="0"/>
          <w:sz w:val="32"/>
          <w:szCs w:val="32"/>
        </w:rPr>
        <w:t>非刚性、非重点</w:t>
      </w:r>
      <w:r>
        <w:rPr>
          <w:rFonts w:hint="eastAsia" w:ascii="仿宋_GB2312" w:eastAsia="仿宋_GB2312" w:cs="仿宋_GB2312"/>
          <w:snapToGrid w:val="0"/>
          <w:sz w:val="32"/>
          <w:szCs w:val="32"/>
        </w:rPr>
        <w:t>支出</w:t>
      </w:r>
      <w:r>
        <w:rPr>
          <w:rFonts w:hint="eastAsia" w:ascii="仿宋_GB2312" w:eastAsia="仿宋_GB2312"/>
          <w:bCs/>
          <w:snapToGrid w:val="0"/>
          <w:sz w:val="32"/>
          <w:szCs w:val="32"/>
        </w:rPr>
        <w:t>。</w:t>
      </w:r>
      <w:r>
        <w:rPr>
          <w:rFonts w:hint="eastAsia" w:ascii="仿宋_GB2312" w:eastAsia="仿宋_GB2312" w:cs="仿宋_GB2312"/>
          <w:b/>
          <w:snapToGrid w:val="0"/>
          <w:sz w:val="32"/>
          <w:szCs w:val="32"/>
        </w:rPr>
        <w:t>三是聚焦“绩效优先”，加强预算绩效管理。</w:t>
      </w:r>
      <w:r>
        <w:rPr>
          <w:rFonts w:hint="eastAsia" w:ascii="仿宋_GB2312" w:eastAsia="仿宋_GB2312"/>
          <w:bCs/>
          <w:snapToGrid w:val="0"/>
          <w:sz w:val="32"/>
          <w:szCs w:val="32"/>
        </w:rPr>
        <w:t>稳步推动预算绩效管理改革提质扩围，进一步扩大存量政策绩效评价和新增政策事前评估的范围，推进全成本预算绩效分析，促进预算和绩效管理协同发展，</w:t>
      </w:r>
      <w:r>
        <w:rPr>
          <w:rFonts w:hint="eastAsia" w:ascii="仿宋_GB2312" w:eastAsia="仿宋_GB2312" w:cs="仿宋_GB2312"/>
          <w:snapToGrid w:val="0"/>
          <w:sz w:val="32"/>
          <w:szCs w:val="32"/>
        </w:rPr>
        <w:t>切实提高财政管理水平。</w:t>
      </w:r>
      <w:r>
        <w:rPr>
          <w:rFonts w:hint="eastAsia" w:ascii="仿宋_GB2312" w:eastAsia="仿宋_GB2312" w:cs="仿宋_GB2312"/>
          <w:b/>
          <w:snapToGrid w:val="0"/>
          <w:sz w:val="32"/>
          <w:szCs w:val="32"/>
        </w:rPr>
        <w:t>四是聚焦“系统集成”，全面实施一体化改革。</w:t>
      </w:r>
      <w:r>
        <w:rPr>
          <w:rFonts w:hint="eastAsia" w:ascii="仿宋_GB2312" w:eastAsia="仿宋_GB2312"/>
          <w:bCs/>
          <w:snapToGrid w:val="0"/>
          <w:sz w:val="32"/>
          <w:szCs w:val="32"/>
        </w:rPr>
        <w:t>首次使用北京市预算管理一体化系统编制年度预算，</w:t>
      </w:r>
      <w:r>
        <w:rPr>
          <w:rFonts w:ascii="仿宋_GB2312" w:eastAsia="仿宋_GB2312"/>
          <w:bCs/>
          <w:snapToGrid w:val="0"/>
          <w:sz w:val="32"/>
          <w:szCs w:val="32"/>
        </w:rPr>
        <w:t>通过嵌入系统的控制规则</w:t>
      </w:r>
      <w:r>
        <w:rPr>
          <w:rFonts w:hint="eastAsia" w:ascii="仿宋_GB2312" w:eastAsia="仿宋_GB2312"/>
          <w:bCs/>
          <w:snapToGrid w:val="0"/>
          <w:sz w:val="32"/>
          <w:szCs w:val="32"/>
        </w:rPr>
        <w:t>，</w:t>
      </w:r>
      <w:r>
        <w:rPr>
          <w:rFonts w:ascii="仿宋_GB2312" w:eastAsia="仿宋_GB2312"/>
          <w:bCs/>
          <w:snapToGrid w:val="0"/>
          <w:sz w:val="32"/>
          <w:szCs w:val="32"/>
        </w:rPr>
        <w:t>规范预算管理和硬化预算约束，</w:t>
      </w:r>
      <w:r>
        <w:rPr>
          <w:rFonts w:hint="eastAsia" w:ascii="仿宋_GB2312" w:eastAsia="仿宋_GB2312"/>
          <w:bCs/>
          <w:snapToGrid w:val="0"/>
          <w:sz w:val="32"/>
          <w:szCs w:val="32"/>
        </w:rPr>
        <w:t>建立横向到边、</w:t>
      </w:r>
      <w:r>
        <w:rPr>
          <w:rFonts w:hint="eastAsia" w:ascii="仿宋_GB2312" w:hAnsi="Calibri" w:eastAsia="仿宋_GB2312"/>
          <w:sz w:val="32"/>
          <w:szCs w:val="32"/>
        </w:rPr>
        <w:t>纵向到底、互联互通的预算管理机制，实现对预算管理全流程的动态反映和有效控制。</w:t>
      </w: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r>
        <w:rPr>
          <w:rFonts w:hint="eastAsia" w:ascii="黑体" w:hAnsi="黑体" w:eastAsia="黑体" w:cs="黑体"/>
          <w:snapToGrid w:val="0"/>
          <w:kern w:val="0"/>
          <w:sz w:val="32"/>
          <w:szCs w:val="32"/>
        </w:rPr>
        <w:t>二、</w:t>
      </w:r>
      <w:r>
        <w:rPr>
          <w:rFonts w:ascii="黑体" w:hAnsi="黑体" w:eastAsia="黑体" w:cs="黑体"/>
          <w:snapToGrid w:val="0"/>
          <w:kern w:val="0"/>
          <w:sz w:val="32"/>
          <w:szCs w:val="32"/>
        </w:rPr>
        <w:t>20</w:t>
      </w:r>
      <w:r>
        <w:rPr>
          <w:rFonts w:hint="eastAsia" w:ascii="黑体" w:hAnsi="黑体" w:eastAsia="黑体" w:cs="黑体"/>
          <w:snapToGrid w:val="0"/>
          <w:kern w:val="0"/>
          <w:sz w:val="32"/>
          <w:szCs w:val="32"/>
        </w:rPr>
        <w:t>22</w:t>
      </w:r>
      <w:r>
        <w:rPr>
          <w:rFonts w:ascii="黑体" w:hAnsi="黑体" w:eastAsia="黑体" w:cs="黑体"/>
          <w:snapToGrid w:val="0"/>
          <w:kern w:val="0"/>
          <w:sz w:val="32"/>
          <w:szCs w:val="32"/>
        </w:rPr>
        <w:t>年</w:t>
      </w:r>
      <w:r>
        <w:rPr>
          <w:rFonts w:hint="eastAsia" w:ascii="黑体" w:hAnsi="黑体" w:eastAsia="黑体" w:cs="黑体"/>
          <w:snapToGrid w:val="0"/>
          <w:kern w:val="0"/>
          <w:sz w:val="32"/>
          <w:szCs w:val="32"/>
        </w:rPr>
        <w:t>预算安排具体情况</w:t>
      </w:r>
    </w:p>
    <w:p>
      <w:pPr>
        <w:pBdr>
          <w:bottom w:val="single" w:color="FFFFFF" w:sz="4" w:space="17"/>
        </w:pBd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（一）三本预算安排情况</w:t>
      </w:r>
    </w:p>
    <w:p>
      <w:pPr>
        <w:pBdr>
          <w:bottom w:val="single" w:color="FFFFFF" w:sz="4" w:space="17"/>
        </w:pBdr>
        <w:tabs>
          <w:tab w:val="left" w:pos="3038"/>
        </w:tabs>
        <w:adjustRightInd w:val="0"/>
        <w:snapToGrid w:val="0"/>
        <w:spacing w:line="560" w:lineRule="exact"/>
        <w:ind w:firstLine="643" w:firstLineChars="200"/>
        <w:rPr>
          <w:rFonts w:hint="eastAsia" w:ascii="仿宋_GB2312" w:hAnsi="FZSSK--GBK1-0" w:eastAsia="仿宋_GB2312"/>
          <w:sz w:val="32"/>
          <w:szCs w:val="32"/>
        </w:rPr>
      </w:pPr>
      <w:r>
        <w:rPr>
          <w:rFonts w:hint="eastAsia" w:ascii="楷体_GB2312" w:eastAsia="楷体_GB2312" w:cs="楷体_GB2312"/>
          <w:b/>
          <w:bCs/>
          <w:sz w:val="32"/>
          <w:szCs w:val="32"/>
        </w:rPr>
        <w:t>1.</w:t>
      </w:r>
      <w:r>
        <w:rPr>
          <w:rFonts w:ascii="楷体_GB2312" w:eastAsia="楷体_GB2312" w:cs="楷体_GB2312"/>
          <w:b/>
          <w:bCs/>
          <w:sz w:val="32"/>
          <w:szCs w:val="32"/>
        </w:rPr>
        <w:t>20</w:t>
      </w:r>
      <w:r>
        <w:rPr>
          <w:rFonts w:hint="eastAsia" w:ascii="楷体_GB2312" w:eastAsia="楷体_GB2312" w:cs="楷体_GB2312"/>
          <w:b/>
          <w:bCs/>
          <w:sz w:val="32"/>
          <w:szCs w:val="32"/>
        </w:rPr>
        <w:t>22</w:t>
      </w:r>
      <w:r>
        <w:rPr>
          <w:rFonts w:ascii="楷体_GB2312" w:eastAsia="楷体_GB2312" w:cs="楷体_GB2312"/>
          <w:b/>
          <w:bCs/>
          <w:sz w:val="32"/>
          <w:szCs w:val="32"/>
        </w:rPr>
        <w:t>年</w:t>
      </w:r>
      <w:r>
        <w:rPr>
          <w:rFonts w:hint="eastAsia" w:ascii="楷体_GB2312" w:eastAsia="楷体_GB2312" w:cs="楷体_GB2312"/>
          <w:b/>
          <w:bCs/>
          <w:sz w:val="32"/>
          <w:szCs w:val="32"/>
        </w:rPr>
        <w:t>一般公共预算安排情况</w:t>
      </w: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r>
        <w:rPr>
          <w:rFonts w:hint="eastAsia" w:ascii="仿宋_GB2312" w:hAnsi="Arial" w:eastAsia="仿宋_GB2312" w:cs="仿宋_GB2312"/>
          <w:snapToGrid w:val="0"/>
          <w:kern w:val="0"/>
          <w:sz w:val="32"/>
          <w:szCs w:val="32"/>
        </w:rPr>
        <w:t>综合考虑当前宏观经济形势、国家财税政策以及疫情持续性影响等因素，区级一般公共预算收入增幅预计完成4.0%。</w:t>
      </w:r>
      <w:r>
        <w:rPr>
          <w:rFonts w:ascii="仿宋_GB2312" w:eastAsia="仿宋_GB2312" w:cs="仿宋_GB2312"/>
          <w:sz w:val="32"/>
          <w:szCs w:val="32"/>
        </w:rPr>
        <w:t>20</w:t>
      </w:r>
      <w:r>
        <w:rPr>
          <w:rFonts w:hint="eastAsia" w:ascii="仿宋_GB2312" w:eastAsia="仿宋_GB2312" w:cs="仿宋_GB2312"/>
          <w:sz w:val="32"/>
          <w:szCs w:val="32"/>
        </w:rPr>
        <w:t>22</w:t>
      </w:r>
      <w:r>
        <w:rPr>
          <w:rFonts w:ascii="仿宋_GB2312" w:eastAsia="仿宋_GB2312" w:cs="仿宋_GB2312"/>
          <w:sz w:val="32"/>
          <w:szCs w:val="32"/>
        </w:rPr>
        <w:t>年</w:t>
      </w:r>
      <w:r>
        <w:rPr>
          <w:rFonts w:hint="eastAsia" w:ascii="仿宋_GB2312" w:eastAsia="仿宋_GB2312" w:cs="仿宋_GB2312"/>
          <w:sz w:val="32"/>
          <w:szCs w:val="32"/>
        </w:rPr>
        <w:t>全区一般公共预算收入总计预计为663.3亿元。其中：区级一般公共预算收入509.8亿元</w:t>
      </w:r>
      <w:r>
        <w:rPr>
          <w:rFonts w:hint="eastAsia" w:ascii="仿宋_GB2312" w:hAnsi="Arial" w:eastAsia="仿宋_GB2312" w:cs="仿宋_GB2312"/>
          <w:snapToGrid w:val="0"/>
          <w:kern w:val="0"/>
          <w:sz w:val="32"/>
          <w:szCs w:val="32"/>
        </w:rPr>
        <w:t>；</w:t>
      </w:r>
      <w:r>
        <w:rPr>
          <w:rFonts w:hint="eastAsia" w:ascii="仿宋_GB2312" w:eastAsia="仿宋_GB2312" w:cs="仿宋_GB2312"/>
          <w:sz w:val="32"/>
          <w:szCs w:val="32"/>
        </w:rPr>
        <w:t>市转移支付收入132.6亿元</w:t>
      </w:r>
      <w:r>
        <w:rPr>
          <w:rStyle w:val="14"/>
          <w:rFonts w:ascii="仿宋_GB2312" w:eastAsia="仿宋_GB2312" w:cs="仿宋_GB2312"/>
          <w:sz w:val="32"/>
          <w:szCs w:val="32"/>
        </w:rPr>
        <w:footnoteReference w:id="7"/>
      </w:r>
      <w:r>
        <w:rPr>
          <w:rFonts w:hint="eastAsia" w:ascii="仿宋_GB2312" w:eastAsia="仿宋_GB2312" w:cs="仿宋_GB2312"/>
          <w:sz w:val="32"/>
          <w:szCs w:val="32"/>
        </w:rPr>
        <w:t>；上年专项结转资金6.2亿元；从国有资本经营预算调入资金5070万元；从</w:t>
      </w:r>
      <w:r>
        <w:rPr>
          <w:rFonts w:hint="eastAsia" w:ascii="仿宋_GB2312" w:eastAsia="仿宋_GB2312"/>
          <w:sz w:val="32"/>
          <w:szCs w:val="32"/>
        </w:rPr>
        <w:t>预算稳定调节基金调入资金</w:t>
      </w:r>
      <w:r>
        <w:rPr>
          <w:rFonts w:hint="eastAsia" w:ascii="仿宋_GB2312" w:eastAsia="仿宋_GB2312" w:cs="仿宋_GB2312"/>
          <w:sz w:val="32"/>
          <w:szCs w:val="32"/>
        </w:rPr>
        <w:t>14.2</w:t>
      </w:r>
      <w:r>
        <w:rPr>
          <w:rFonts w:hint="eastAsia" w:ascii="仿宋_GB2312" w:eastAsia="仿宋_GB2312"/>
          <w:sz w:val="32"/>
          <w:szCs w:val="32"/>
        </w:rPr>
        <w:t>亿元</w:t>
      </w:r>
      <w:r>
        <w:rPr>
          <w:rStyle w:val="14"/>
          <w:rFonts w:ascii="仿宋_GB2312" w:eastAsia="仿宋_GB2312"/>
          <w:sz w:val="32"/>
          <w:szCs w:val="32"/>
        </w:rPr>
        <w:footnoteReference w:id="8"/>
      </w:r>
      <w:r>
        <w:rPr>
          <w:rFonts w:hint="eastAsia" w:ascii="仿宋_GB2312" w:eastAsia="仿宋_GB2312" w:cs="仿宋_GB2312"/>
          <w:sz w:val="32"/>
          <w:szCs w:val="32"/>
        </w:rPr>
        <w:t>。</w:t>
      </w:r>
      <w:r>
        <w:rPr>
          <w:rFonts w:ascii="仿宋_GB2312" w:eastAsia="仿宋_GB2312" w:cs="仿宋_GB2312"/>
          <w:sz w:val="32"/>
          <w:szCs w:val="32"/>
        </w:rPr>
        <w:t>20</w:t>
      </w:r>
      <w:r>
        <w:rPr>
          <w:rFonts w:hint="eastAsia" w:ascii="仿宋_GB2312" w:eastAsia="仿宋_GB2312" w:cs="仿宋_GB2312"/>
          <w:sz w:val="32"/>
          <w:szCs w:val="32"/>
        </w:rPr>
        <w:t>22</w:t>
      </w:r>
      <w:r>
        <w:rPr>
          <w:rFonts w:ascii="仿宋_GB2312" w:eastAsia="仿宋_GB2312" w:cs="仿宋_GB2312"/>
          <w:sz w:val="32"/>
          <w:szCs w:val="32"/>
        </w:rPr>
        <w:t>年</w:t>
      </w:r>
      <w:r>
        <w:rPr>
          <w:rFonts w:hint="eastAsia" w:ascii="仿宋_GB2312" w:eastAsia="仿宋_GB2312" w:cs="仿宋_GB2312"/>
          <w:sz w:val="32"/>
          <w:szCs w:val="32"/>
        </w:rPr>
        <w:t>全区一般公共预算支出计划安排663.3亿元。其中：区本级支出586.8亿元；上解市级支出52.6亿元；补助下级支出23.9亿元。区本级支出中计划安排</w:t>
      </w:r>
      <w:r>
        <w:rPr>
          <w:rFonts w:hint="eastAsia" w:ascii="仿宋_GB2312" w:eastAsia="仿宋_GB2312"/>
          <w:sz w:val="32"/>
          <w:szCs w:val="32"/>
        </w:rPr>
        <w:t>预备费</w:t>
      </w:r>
      <w:r>
        <w:rPr>
          <w:rFonts w:hint="eastAsia" w:ascii="仿宋_GB2312" w:eastAsia="仿宋_GB2312" w:cs="仿宋_GB2312"/>
          <w:sz w:val="32"/>
          <w:szCs w:val="32"/>
        </w:rPr>
        <w:t>6.5</w:t>
      </w:r>
      <w:r>
        <w:rPr>
          <w:rFonts w:hint="eastAsia" w:ascii="仿宋_GB2312" w:eastAsia="仿宋_GB2312"/>
          <w:sz w:val="32"/>
          <w:szCs w:val="32"/>
        </w:rPr>
        <w:t>亿元，占区级一般公共预算支出的</w:t>
      </w:r>
      <w:r>
        <w:rPr>
          <w:rFonts w:hint="eastAsia" w:ascii="仿宋_GB2312" w:eastAsia="仿宋_GB2312" w:cs="仿宋_GB2312"/>
          <w:sz w:val="32"/>
          <w:szCs w:val="32"/>
        </w:rPr>
        <w:t>1.1</w:t>
      </w:r>
      <w:r>
        <w:rPr>
          <w:rFonts w:hint="eastAsia" w:ascii="仿宋_GB2312" w:eastAsia="仿宋_GB2312"/>
          <w:sz w:val="32"/>
          <w:szCs w:val="32"/>
        </w:rPr>
        <w:t>%。</w:t>
      </w:r>
    </w:p>
    <w:p>
      <w:pPr>
        <w:pBdr>
          <w:bottom w:val="single" w:color="FFFFFF" w:sz="4" w:space="17"/>
        </w:pBdr>
        <w:tabs>
          <w:tab w:val="left" w:pos="3038"/>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2022年海淀区“三公”经费预算合计安排</w:t>
      </w:r>
      <w:r>
        <w:rPr>
          <w:rFonts w:hint="eastAsia" w:ascii="仿宋_GB2312" w:eastAsia="仿宋_GB2312" w:cs="仿宋_GB2312"/>
          <w:sz w:val="32"/>
          <w:szCs w:val="32"/>
        </w:rPr>
        <w:t>9542</w:t>
      </w:r>
      <w:r>
        <w:rPr>
          <w:rFonts w:hint="eastAsia" w:ascii="仿宋_GB2312" w:eastAsia="仿宋_GB2312"/>
          <w:sz w:val="32"/>
          <w:szCs w:val="32"/>
        </w:rPr>
        <w:t>万元，其中：因公出国（境）费</w:t>
      </w:r>
      <w:r>
        <w:rPr>
          <w:rFonts w:hint="eastAsia" w:ascii="仿宋_GB2312" w:eastAsia="仿宋_GB2312" w:cs="仿宋_GB2312"/>
          <w:sz w:val="32"/>
          <w:szCs w:val="32"/>
        </w:rPr>
        <w:t>1710</w:t>
      </w:r>
      <w:r>
        <w:rPr>
          <w:rFonts w:hint="eastAsia" w:ascii="仿宋_GB2312" w:eastAsia="仿宋_GB2312"/>
          <w:sz w:val="32"/>
          <w:szCs w:val="32"/>
        </w:rPr>
        <w:t>万元、公务接待费</w:t>
      </w:r>
      <w:r>
        <w:rPr>
          <w:rFonts w:hint="eastAsia" w:ascii="仿宋_GB2312" w:eastAsia="仿宋_GB2312" w:cs="仿宋_GB2312"/>
          <w:sz w:val="32"/>
          <w:szCs w:val="32"/>
        </w:rPr>
        <w:t>129</w:t>
      </w:r>
      <w:r>
        <w:rPr>
          <w:rFonts w:hint="eastAsia" w:ascii="仿宋_GB2312" w:eastAsia="仿宋_GB2312"/>
          <w:sz w:val="32"/>
          <w:szCs w:val="32"/>
        </w:rPr>
        <w:t>万元、公务用车购置及运行维护费</w:t>
      </w:r>
      <w:r>
        <w:rPr>
          <w:rFonts w:hint="eastAsia" w:ascii="仿宋_GB2312" w:eastAsia="仿宋_GB2312" w:cs="仿宋_GB2312"/>
          <w:sz w:val="32"/>
          <w:szCs w:val="32"/>
        </w:rPr>
        <w:t>7703</w:t>
      </w:r>
      <w:r>
        <w:rPr>
          <w:rFonts w:hint="eastAsia" w:ascii="仿宋_GB2312" w:eastAsia="仿宋_GB2312"/>
          <w:sz w:val="32"/>
          <w:szCs w:val="32"/>
        </w:rPr>
        <w:t>万元</w:t>
      </w:r>
      <w:r>
        <w:rPr>
          <w:rStyle w:val="14"/>
          <w:rFonts w:ascii="仿宋_GB2312" w:eastAsia="仿宋_GB2312"/>
          <w:sz w:val="32"/>
          <w:szCs w:val="32"/>
        </w:rPr>
        <w:footnoteReference w:id="9"/>
      </w:r>
      <w:r>
        <w:rPr>
          <w:rFonts w:hint="eastAsia" w:ascii="仿宋_GB2312" w:eastAsia="仿宋_GB2312"/>
          <w:sz w:val="32"/>
          <w:szCs w:val="32"/>
        </w:rPr>
        <w:t>。</w:t>
      </w:r>
    </w:p>
    <w:p>
      <w:pPr>
        <w:pBdr>
          <w:bottom w:val="single" w:color="FFFFFF" w:sz="4" w:space="17"/>
        </w:pBdr>
        <w:tabs>
          <w:tab w:val="left" w:pos="3038"/>
        </w:tabs>
        <w:adjustRightInd w:val="0"/>
        <w:snapToGrid w:val="0"/>
        <w:spacing w:line="560" w:lineRule="exact"/>
        <w:ind w:firstLine="640" w:firstLineChars="200"/>
        <w:rPr>
          <w:rFonts w:ascii="仿宋_GB2312" w:eastAsia="仿宋_GB2312"/>
          <w:sz w:val="32"/>
          <w:szCs w:val="32"/>
        </w:rPr>
      </w:pPr>
    </w:p>
    <w:p>
      <w:pPr>
        <w:pBdr>
          <w:bottom w:val="single" w:color="FFFFFF" w:sz="4" w:space="17"/>
        </w:pBdr>
        <w:tabs>
          <w:tab w:val="left" w:pos="3038"/>
        </w:tabs>
        <w:adjustRightInd w:val="0"/>
        <w:snapToGrid w:val="0"/>
        <w:spacing w:line="560" w:lineRule="exact"/>
        <w:ind w:firstLine="643" w:firstLineChars="200"/>
        <w:rPr>
          <w:rFonts w:hint="eastAsia" w:ascii="仿宋_GB2312" w:hAnsi="FZSSK--GBK1-0" w:eastAsia="仿宋_GB2312"/>
          <w:sz w:val="32"/>
          <w:szCs w:val="32"/>
        </w:rPr>
      </w:pPr>
      <w:r>
        <w:rPr>
          <w:rFonts w:hint="eastAsia" w:ascii="楷体_GB2312" w:eastAsia="楷体_GB2312" w:cs="楷体_GB2312"/>
          <w:b/>
          <w:bCs/>
          <w:sz w:val="32"/>
          <w:szCs w:val="32"/>
        </w:rPr>
        <w:t>2.</w:t>
      </w:r>
      <w:r>
        <w:rPr>
          <w:rFonts w:ascii="楷体_GB2312" w:eastAsia="楷体_GB2312" w:cs="楷体_GB2312"/>
          <w:b/>
          <w:bCs/>
          <w:sz w:val="32"/>
          <w:szCs w:val="32"/>
        </w:rPr>
        <w:t>20</w:t>
      </w:r>
      <w:r>
        <w:rPr>
          <w:rFonts w:hint="eastAsia" w:ascii="楷体_GB2312" w:eastAsia="楷体_GB2312" w:cs="楷体_GB2312"/>
          <w:b/>
          <w:bCs/>
          <w:sz w:val="32"/>
          <w:szCs w:val="32"/>
        </w:rPr>
        <w:t>22</w:t>
      </w:r>
      <w:r>
        <w:rPr>
          <w:rFonts w:ascii="楷体_GB2312" w:eastAsia="楷体_GB2312" w:cs="楷体_GB2312"/>
          <w:b/>
          <w:bCs/>
          <w:sz w:val="32"/>
          <w:szCs w:val="32"/>
        </w:rPr>
        <w:t>年</w:t>
      </w:r>
      <w:r>
        <w:rPr>
          <w:rFonts w:hint="eastAsia" w:ascii="楷体_GB2312" w:eastAsia="楷体_GB2312" w:cs="楷体_GB2312"/>
          <w:b/>
          <w:bCs/>
          <w:sz w:val="32"/>
          <w:szCs w:val="32"/>
        </w:rPr>
        <w:t>政府性基金预算安排情况</w:t>
      </w: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r>
        <w:rPr>
          <w:rFonts w:ascii="仿宋_GB2312" w:eastAsia="仿宋_GB2312" w:cs="仿宋_GB2312"/>
          <w:sz w:val="32"/>
          <w:szCs w:val="32"/>
        </w:rPr>
        <w:t>20</w:t>
      </w:r>
      <w:r>
        <w:rPr>
          <w:rFonts w:hint="eastAsia" w:ascii="仿宋_GB2312" w:eastAsia="仿宋_GB2312" w:cs="仿宋_GB2312"/>
          <w:sz w:val="32"/>
          <w:szCs w:val="32"/>
        </w:rPr>
        <w:t>22</w:t>
      </w:r>
      <w:r>
        <w:rPr>
          <w:rFonts w:ascii="仿宋_GB2312" w:eastAsia="仿宋_GB2312" w:cs="仿宋_GB2312"/>
          <w:sz w:val="32"/>
          <w:szCs w:val="32"/>
        </w:rPr>
        <w:t>年</w:t>
      </w:r>
      <w:r>
        <w:rPr>
          <w:rFonts w:hint="eastAsia" w:ascii="仿宋_GB2312" w:eastAsia="仿宋_GB2312" w:cs="仿宋_GB2312"/>
          <w:sz w:val="32"/>
          <w:szCs w:val="32"/>
        </w:rPr>
        <w:t>政府性基金预算收入总计预计为302.7亿元。其中：政府性基金收入300.0亿元，为上年执行数的83.6%</w:t>
      </w:r>
      <w:r>
        <w:rPr>
          <w:rStyle w:val="14"/>
          <w:rFonts w:ascii="仿宋_GB2312" w:eastAsia="仿宋_GB2312" w:cs="仿宋_GB2312"/>
          <w:sz w:val="32"/>
          <w:szCs w:val="32"/>
        </w:rPr>
        <w:footnoteReference w:id="10"/>
      </w:r>
      <w:r>
        <w:rPr>
          <w:rFonts w:hint="eastAsia" w:ascii="仿宋_GB2312" w:eastAsia="仿宋_GB2312" w:cs="仿宋_GB2312"/>
          <w:sz w:val="32"/>
          <w:szCs w:val="32"/>
        </w:rPr>
        <w:t>；市转移支付收入2.7亿元。</w:t>
      </w:r>
      <w:r>
        <w:rPr>
          <w:rFonts w:ascii="仿宋_GB2312" w:eastAsia="仿宋_GB2312" w:cs="仿宋_GB2312"/>
          <w:sz w:val="32"/>
          <w:szCs w:val="32"/>
        </w:rPr>
        <w:t>20</w:t>
      </w:r>
      <w:r>
        <w:rPr>
          <w:rFonts w:hint="eastAsia" w:ascii="仿宋_GB2312" w:eastAsia="仿宋_GB2312" w:cs="仿宋_GB2312"/>
          <w:sz w:val="32"/>
          <w:szCs w:val="32"/>
        </w:rPr>
        <w:t>22</w:t>
      </w:r>
      <w:r>
        <w:rPr>
          <w:rFonts w:ascii="仿宋_GB2312" w:eastAsia="仿宋_GB2312" w:cs="仿宋_GB2312"/>
          <w:sz w:val="32"/>
          <w:szCs w:val="32"/>
        </w:rPr>
        <w:t>年</w:t>
      </w:r>
      <w:r>
        <w:rPr>
          <w:rFonts w:hint="eastAsia" w:ascii="仿宋_GB2312" w:eastAsia="仿宋_GB2312" w:cs="仿宋_GB2312"/>
          <w:sz w:val="32"/>
          <w:szCs w:val="32"/>
        </w:rPr>
        <w:t>政府性基金预算支出计划安排302.7亿元。其中：区级支出277.5亿元；上解市级支出25.2亿元。</w:t>
      </w:r>
    </w:p>
    <w:p>
      <w:pPr>
        <w:pBdr>
          <w:bottom w:val="single" w:color="FFFFFF" w:sz="4" w:space="17"/>
        </w:pBdr>
        <w:tabs>
          <w:tab w:val="left" w:pos="3038"/>
        </w:tabs>
        <w:adjustRightInd w:val="0"/>
        <w:snapToGrid w:val="0"/>
        <w:spacing w:line="560" w:lineRule="exact"/>
        <w:ind w:firstLine="643" w:firstLineChars="200"/>
        <w:rPr>
          <w:rFonts w:hint="eastAsia" w:ascii="仿宋_GB2312" w:hAnsi="FZSSK--GBK1-0" w:eastAsia="仿宋_GB2312"/>
          <w:sz w:val="32"/>
          <w:szCs w:val="32"/>
        </w:rPr>
      </w:pPr>
      <w:r>
        <w:rPr>
          <w:rFonts w:hint="eastAsia" w:ascii="楷体_GB2312" w:eastAsia="楷体_GB2312" w:cs="楷体_GB2312"/>
          <w:b/>
          <w:bCs/>
          <w:sz w:val="32"/>
          <w:szCs w:val="32"/>
        </w:rPr>
        <w:t>3.</w:t>
      </w:r>
      <w:r>
        <w:rPr>
          <w:rFonts w:ascii="楷体_GB2312" w:eastAsia="楷体_GB2312" w:cs="楷体_GB2312"/>
          <w:b/>
          <w:bCs/>
          <w:sz w:val="32"/>
          <w:szCs w:val="32"/>
        </w:rPr>
        <w:t>20</w:t>
      </w:r>
      <w:r>
        <w:rPr>
          <w:rFonts w:hint="eastAsia" w:ascii="楷体_GB2312" w:eastAsia="楷体_GB2312" w:cs="楷体_GB2312"/>
          <w:b/>
          <w:bCs/>
          <w:sz w:val="32"/>
          <w:szCs w:val="32"/>
        </w:rPr>
        <w:t>22</w:t>
      </w:r>
      <w:r>
        <w:rPr>
          <w:rFonts w:ascii="楷体_GB2312" w:eastAsia="楷体_GB2312" w:cs="楷体_GB2312"/>
          <w:b/>
          <w:bCs/>
          <w:sz w:val="32"/>
          <w:szCs w:val="32"/>
        </w:rPr>
        <w:t>年</w:t>
      </w:r>
      <w:r>
        <w:rPr>
          <w:rFonts w:hint="eastAsia" w:ascii="楷体_GB2312" w:eastAsia="楷体_GB2312" w:cs="楷体_GB2312"/>
          <w:b/>
          <w:bCs/>
          <w:sz w:val="32"/>
          <w:szCs w:val="32"/>
        </w:rPr>
        <w:t>国有资本经营预算安排情况</w:t>
      </w:r>
    </w:p>
    <w:p>
      <w:pPr>
        <w:pBdr>
          <w:bottom w:val="single" w:color="FFFFFF" w:sz="4" w:space="17"/>
        </w:pBdr>
        <w:tabs>
          <w:tab w:val="left" w:pos="3038"/>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2022年国有资本经营预算收入总计预计为4.8亿元。其中：企业上缴利润收入1.6亿元，为上年执行数的38.0%</w:t>
      </w:r>
      <w:r>
        <w:rPr>
          <w:rStyle w:val="14"/>
          <w:rFonts w:ascii="仿宋_GB2312" w:eastAsia="仿宋_GB2312" w:cs="仿宋_GB2312"/>
          <w:sz w:val="32"/>
          <w:szCs w:val="32"/>
        </w:rPr>
        <w:footnoteReference w:id="11"/>
      </w:r>
      <w:r>
        <w:rPr>
          <w:rFonts w:hint="eastAsia" w:ascii="仿宋_GB2312" w:eastAsia="仿宋_GB2312" w:cs="仿宋_GB2312"/>
          <w:sz w:val="32"/>
          <w:szCs w:val="32"/>
        </w:rPr>
        <w:t>；股利、股息收入500万元；上年结余3.1亿元。</w:t>
      </w:r>
    </w:p>
    <w:p>
      <w:pPr>
        <w:pBdr>
          <w:bottom w:val="single" w:color="FFFFFF" w:sz="4" w:space="17"/>
        </w:pBdr>
        <w:tabs>
          <w:tab w:val="left" w:pos="3038"/>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2022年国有资本经营预算支出计划安排4.8亿元。其中：国有经济结构调整支出1.4亿元；其他国有资本经营预算支出2.9亿元；按照国有资本经营预算收入的30%调出资金5070万元补充一般公共预算。</w:t>
      </w:r>
    </w:p>
    <w:p>
      <w:pPr>
        <w:pBdr>
          <w:bottom w:val="single" w:color="FFFFFF" w:sz="4" w:space="17"/>
        </w:pBd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（二）“两重”项目预算安排情况</w:t>
      </w:r>
    </w:p>
    <w:p>
      <w:pPr>
        <w:pBdr>
          <w:bottom w:val="single" w:color="FFFFFF" w:sz="4" w:space="17"/>
        </w:pBdr>
        <w:tabs>
          <w:tab w:val="left" w:pos="3038"/>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2022年年初预算选取农村人居环境整治、人才储备库、公厕运维管护、2020年厕所革命、2019年255座公厕革命五个重点支出项目，拟安排预算资金合计4.4亿元。</w:t>
      </w:r>
    </w:p>
    <w:p>
      <w:pPr>
        <w:pBdr>
          <w:bottom w:val="single" w:color="FFFFFF" w:sz="4" w:space="17"/>
        </w:pBdr>
        <w:tabs>
          <w:tab w:val="left" w:pos="3038"/>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2022年年初预算选取巨山路、万泉河生态治理、北京市海淀区实验小学（紫竹院校区）改扩建、海淀区北部医疗中心建设、海淀区苏家坨中心医院建设五个政府固定资产投资重大项目，拟安排预算资金合计5.2亿元。</w:t>
      </w:r>
    </w:p>
    <w:p>
      <w:pPr>
        <w:pBdr>
          <w:bottom w:val="single" w:color="FFFFFF" w:sz="4" w:space="17"/>
        </w:pBd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（三）地方政府债券预算安排情况</w:t>
      </w:r>
    </w:p>
    <w:p>
      <w:pPr>
        <w:pBdr>
          <w:bottom w:val="single" w:color="FFFFFF" w:sz="4" w:space="17"/>
        </w:pBdr>
        <w:tabs>
          <w:tab w:val="left" w:pos="3038"/>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cs="仿宋_GB2312"/>
          <w:snapToGrid w:val="0"/>
          <w:sz w:val="32"/>
          <w:szCs w:val="32"/>
        </w:rPr>
        <w:t>2022年，我区政府债务年初余额预计为452.0亿元，其中：一般债券余额204.7亿元；专项债券余额247.3亿元。2022年新增债券资金以北京市财政局正式下达的通知为准。</w:t>
      </w:r>
    </w:p>
    <w:p>
      <w:pPr>
        <w:pBdr>
          <w:bottom w:val="single" w:color="FFFFFF" w:sz="4" w:space="17"/>
        </w:pBdr>
        <w:tabs>
          <w:tab w:val="left" w:pos="3038"/>
        </w:tabs>
        <w:adjustRightInd w:val="0"/>
        <w:snapToGrid w:val="0"/>
        <w:spacing w:line="560" w:lineRule="exact"/>
        <w:ind w:firstLine="640" w:firstLineChars="200"/>
        <w:rPr>
          <w:rFonts w:ascii="仿宋_GB2312" w:eastAsia="仿宋_GB2312" w:cs="仿宋_GB2312"/>
          <w:snapToGrid w:val="0"/>
          <w:sz w:val="32"/>
          <w:szCs w:val="32"/>
        </w:rPr>
      </w:pPr>
      <w:r>
        <w:rPr>
          <w:rFonts w:hint="eastAsia" w:ascii="仿宋_GB2312" w:eastAsia="仿宋_GB2312"/>
          <w:sz w:val="32"/>
          <w:szCs w:val="32"/>
        </w:rPr>
        <w:t>2022年，我区政府债务到期还本金额35.0亿元，其中：一般债券20.0亿元；专项债券15.0亿元。</w:t>
      </w:r>
      <w:r>
        <w:rPr>
          <w:rFonts w:hint="eastAsia" w:ascii="仿宋_GB2312" w:eastAsia="仿宋_GB2312" w:cs="仿宋_GB2312"/>
          <w:snapToGrid w:val="0"/>
          <w:sz w:val="32"/>
          <w:szCs w:val="32"/>
        </w:rPr>
        <w:t>全年预计发生利息和手续费支出14.2亿元，其中：一般债券6.5亿元；专项债券7.7亿元。</w:t>
      </w:r>
    </w:p>
    <w:p>
      <w:pPr>
        <w:pBdr>
          <w:bottom w:val="single" w:color="FFFFFF" w:sz="4" w:space="17"/>
        </w:pBd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（四）政府投资计划预算安排情况</w:t>
      </w:r>
    </w:p>
    <w:p>
      <w:pPr>
        <w:pBdr>
          <w:bottom w:val="single" w:color="FFFFFF" w:sz="4" w:space="17"/>
        </w:pBdr>
        <w:tabs>
          <w:tab w:val="left" w:pos="3038"/>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2022年第一批政府投资计划拟安排资金55.2亿元，其中：中央及市级资金4.1亿元，区级资金40.8亿元，北部地区重点项目建设资金10.3亿元。资金投向涵盖城市建设、基础设施、民生保障等方面，重点支持</w:t>
      </w:r>
      <w:r>
        <w:rPr>
          <w:rFonts w:ascii="仿宋_GB2312" w:eastAsia="仿宋_GB2312" w:cs="仿宋_GB2312"/>
          <w:sz w:val="32"/>
          <w:szCs w:val="32"/>
        </w:rPr>
        <w:t>五塔寺环境整治</w:t>
      </w:r>
      <w:r>
        <w:rPr>
          <w:rFonts w:hint="eastAsia" w:ascii="仿宋_GB2312" w:eastAsia="仿宋_GB2312" w:cs="仿宋_GB2312"/>
          <w:sz w:val="32"/>
          <w:szCs w:val="32"/>
        </w:rPr>
        <w:t>、北部医疗中心、 “三山五园”地区（东、西水磨）改造、海淀区三山五园艺术中心、美丽乡村环境治理等项目。</w:t>
      </w: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r>
        <w:rPr>
          <w:rFonts w:hint="eastAsia" w:ascii="黑体" w:hAnsi="黑体" w:eastAsia="黑体" w:cs="黑体"/>
          <w:sz w:val="32"/>
          <w:szCs w:val="32"/>
        </w:rPr>
        <w:t>三、</w:t>
      </w:r>
      <w:r>
        <w:rPr>
          <w:rFonts w:ascii="黑体" w:hAnsi="黑体" w:eastAsia="黑体" w:cs="黑体"/>
          <w:sz w:val="32"/>
          <w:szCs w:val="32"/>
        </w:rPr>
        <w:t>20</w:t>
      </w:r>
      <w:r>
        <w:rPr>
          <w:rFonts w:hint="eastAsia" w:ascii="黑体" w:hAnsi="黑体" w:eastAsia="黑体" w:cs="黑体"/>
          <w:sz w:val="32"/>
          <w:szCs w:val="32"/>
        </w:rPr>
        <w:t>22</w:t>
      </w:r>
      <w:r>
        <w:rPr>
          <w:rFonts w:ascii="黑体" w:hAnsi="黑体" w:eastAsia="黑体" w:cs="黑体"/>
          <w:sz w:val="32"/>
          <w:szCs w:val="32"/>
        </w:rPr>
        <w:t>年</w:t>
      </w:r>
      <w:r>
        <w:rPr>
          <w:rFonts w:hint="eastAsia" w:ascii="黑体" w:hAnsi="黑体" w:eastAsia="黑体" w:cs="黑体"/>
          <w:sz w:val="32"/>
          <w:szCs w:val="32"/>
        </w:rPr>
        <w:t>财政预算主要支出方向及保障重点</w:t>
      </w:r>
    </w:p>
    <w:p>
      <w:pPr>
        <w:pBdr>
          <w:bottom w:val="single" w:color="FFFFFF" w:sz="4" w:space="17"/>
        </w:pBd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（一）注重创新引领，全面提升创新发展能级</w:t>
      </w:r>
    </w:p>
    <w:p>
      <w:pPr>
        <w:pBdr>
          <w:bottom w:val="single" w:color="FFFFFF" w:sz="4" w:space="17"/>
        </w:pBdr>
        <w:tabs>
          <w:tab w:val="left" w:pos="3038"/>
        </w:tabs>
        <w:adjustRightInd w:val="0"/>
        <w:snapToGrid w:val="0"/>
        <w:spacing w:line="560" w:lineRule="exact"/>
        <w:ind w:firstLine="643" w:firstLineChars="200"/>
        <w:rPr>
          <w:rFonts w:ascii="仿宋_GB2312" w:eastAsia="仿宋_GB2312"/>
          <w:kern w:val="0"/>
          <w:sz w:val="32"/>
        </w:rPr>
      </w:pPr>
      <w:r>
        <w:rPr>
          <w:rFonts w:hint="eastAsia" w:ascii="仿宋_GB2312" w:eastAsia="仿宋_GB2312"/>
          <w:b/>
          <w:kern w:val="0"/>
          <w:sz w:val="32"/>
        </w:rPr>
        <w:t>以科技创新推动区域经济高质量发展。</w:t>
      </w:r>
      <w:r>
        <w:rPr>
          <w:rFonts w:hint="eastAsia" w:ascii="仿宋_GB2312" w:eastAsia="仿宋_GB2312"/>
          <w:kern w:val="0"/>
          <w:sz w:val="32"/>
        </w:rPr>
        <w:t>安排资金15.8亿元，支持智源、微芯、石墨烯等研发机构以及区块链先进算力实验平台创建，提升区域原始创新能力；聚焦人工智能、集成电路、互联网产业、生物医药等优势产业，不断优化高精尖产业结构；支持创新型孵化器、众创空间、集中办公区等创新创业服务载体，引导创新创业服务高水平发展。</w:t>
      </w:r>
      <w:r>
        <w:rPr>
          <w:rFonts w:hint="eastAsia" w:ascii="仿宋_GB2312" w:eastAsia="仿宋_GB2312" w:cs="仿宋_GB2312"/>
          <w:snapToGrid w:val="0"/>
          <w:kern w:val="0"/>
          <w:sz w:val="32"/>
          <w:szCs w:val="32"/>
        </w:rPr>
        <w:t>高标准推进“两区”建设，</w:t>
      </w:r>
      <w:r>
        <w:rPr>
          <w:rFonts w:hint="eastAsia" w:ascii="仿宋_GB2312" w:eastAsia="仿宋_GB2312"/>
          <w:kern w:val="0"/>
          <w:sz w:val="32"/>
        </w:rPr>
        <w:t>充分发挥多渠道资金的协同保障作用，支持数字贸易港建设、“监管”沙箱试点、中关村综保区建设，充分发挥“三区”政策叠加优势，加快推进政策创新和项目引进落地。</w:t>
      </w:r>
    </w:p>
    <w:p>
      <w:pPr>
        <w:pBdr>
          <w:bottom w:val="single" w:color="FFFFFF" w:sz="4" w:space="17"/>
        </w:pBdr>
        <w:tabs>
          <w:tab w:val="left" w:pos="3038"/>
        </w:tabs>
        <w:adjustRightInd w:val="0"/>
        <w:snapToGrid w:val="0"/>
        <w:spacing w:line="560" w:lineRule="exact"/>
        <w:ind w:firstLine="643" w:firstLineChars="200"/>
        <w:rPr>
          <w:rFonts w:ascii="仿宋_GB2312" w:eastAsia="仿宋_GB2312"/>
          <w:kern w:val="0"/>
          <w:sz w:val="32"/>
        </w:rPr>
      </w:pPr>
      <w:r>
        <w:rPr>
          <w:rFonts w:hint="eastAsia" w:ascii="仿宋_GB2312" w:eastAsia="仿宋_GB2312" w:cs="仿宋_GB2312"/>
          <w:b/>
          <w:snapToGrid w:val="0"/>
          <w:kern w:val="0"/>
          <w:sz w:val="32"/>
          <w:szCs w:val="32"/>
        </w:rPr>
        <w:t>以科学规划统筹推进科学城北区建设。</w:t>
      </w:r>
      <w:r>
        <w:rPr>
          <w:rFonts w:hint="eastAsia" w:ascii="仿宋_GB2312" w:hAnsi="仿宋" w:eastAsia="仿宋_GB2312"/>
          <w:sz w:val="32"/>
          <w:szCs w:val="32"/>
        </w:rPr>
        <w:t>对标国际科技创新中心核心区建</w:t>
      </w:r>
      <w:r>
        <w:rPr>
          <w:rFonts w:hint="eastAsia" w:ascii="仿宋_GB2312" w:hAnsi="仿宋" w:eastAsia="仿宋_GB2312"/>
          <w:bCs/>
          <w:sz w:val="32"/>
          <w:szCs w:val="32"/>
        </w:rPr>
        <w:t>设，</w:t>
      </w:r>
      <w:r>
        <w:rPr>
          <w:rFonts w:hint="eastAsia" w:ascii="仿宋_GB2312" w:hAnsi="仿宋" w:eastAsia="仿宋_GB2312"/>
          <w:sz w:val="32"/>
          <w:szCs w:val="32"/>
        </w:rPr>
        <w:t>贯彻落实“十四五”期间科学城北区发展目标。</w:t>
      </w:r>
      <w:r>
        <w:rPr>
          <w:rFonts w:hint="eastAsia" w:ascii="仿宋_GB2312" w:eastAsia="仿宋_GB2312" w:cs="仿宋_GB2312"/>
          <w:snapToGrid w:val="0"/>
          <w:kern w:val="0"/>
          <w:sz w:val="32"/>
          <w:szCs w:val="32"/>
        </w:rPr>
        <w:t>安排</w:t>
      </w:r>
      <w:r>
        <w:rPr>
          <w:rFonts w:hint="eastAsia" w:ascii="仿宋_GB2312" w:hAnsi="仿宋" w:eastAsia="仿宋_GB2312"/>
          <w:sz w:val="32"/>
        </w:rPr>
        <w:t>资金7041万元</w:t>
      </w:r>
      <w:r>
        <w:rPr>
          <w:rFonts w:ascii="仿宋_GB2312" w:hAnsi="宋体" w:eastAsia="仿宋_GB2312"/>
          <w:sz w:val="32"/>
          <w:szCs w:val="32"/>
        </w:rPr>
        <w:t>，</w:t>
      </w:r>
      <w:r>
        <w:rPr>
          <w:rFonts w:hint="eastAsia" w:ascii="仿宋_GB2312" w:hAnsi="宋体" w:eastAsia="仿宋_GB2312"/>
          <w:sz w:val="32"/>
          <w:szCs w:val="32"/>
        </w:rPr>
        <w:t>做好街区控规、专项规划等编制实施，促进科学城北区集约发展，形成高质量发展空间格局</w:t>
      </w:r>
      <w:r>
        <w:rPr>
          <w:rFonts w:hint="eastAsia" w:ascii="仿宋_GB2312" w:hAnsi="仿宋" w:eastAsia="仿宋_GB2312"/>
          <w:sz w:val="32"/>
          <w:szCs w:val="32"/>
        </w:rPr>
        <w:t>。统筹好一般公共预算、政府性基金和地方政府债券资金，加快城市基础设施和公共服务配套建设；推动落实北部地区第二个中长期开发计划，有序推进非保留村拆迁腾退和集体产业落地，将科学城北区打造成为新时代改革开放新高地。</w:t>
      </w:r>
    </w:p>
    <w:p>
      <w:pPr>
        <w:pBdr>
          <w:bottom w:val="single" w:color="FFFFFF" w:sz="4" w:space="17"/>
        </w:pBdr>
        <w:tabs>
          <w:tab w:val="left" w:pos="3038"/>
        </w:tabs>
        <w:adjustRightInd w:val="0"/>
        <w:snapToGrid w:val="0"/>
        <w:spacing w:line="560" w:lineRule="exact"/>
        <w:ind w:firstLine="643" w:firstLineChars="200"/>
        <w:rPr>
          <w:rFonts w:ascii="仿宋_GB2312" w:eastAsia="仿宋_GB2312" w:cs="仿宋_GB2312"/>
          <w:b/>
          <w:snapToGrid w:val="0"/>
          <w:kern w:val="0"/>
          <w:sz w:val="32"/>
          <w:szCs w:val="32"/>
        </w:rPr>
      </w:pPr>
      <w:r>
        <w:rPr>
          <w:rFonts w:hint="eastAsia" w:ascii="仿宋_GB2312" w:eastAsia="仿宋_GB2312" w:cs="仿宋_GB2312"/>
          <w:b/>
          <w:snapToGrid w:val="0"/>
          <w:kern w:val="0"/>
          <w:sz w:val="32"/>
          <w:szCs w:val="32"/>
        </w:rPr>
        <w:t>以供给侧结构性改革引领创造新需求。</w:t>
      </w:r>
      <w:r>
        <w:rPr>
          <w:rFonts w:hint="eastAsia" w:ascii="仿宋_GB2312" w:eastAsia="仿宋_GB2312" w:cs="仿宋_GB2312"/>
          <w:snapToGrid w:val="0"/>
          <w:kern w:val="0"/>
          <w:sz w:val="32"/>
          <w:szCs w:val="32"/>
        </w:rPr>
        <w:t>安排资金15.6亿元，实施城市更新行动，发挥投资对优化供给结构的关键作用，加大基础设施、基本公共服务、重点产业等领域投资，进一步补齐基础设施短板，增强投资增长后劲，有效应对经济运行中出现的短期冲击和挑战；</w:t>
      </w:r>
      <w:r>
        <w:rPr>
          <w:rFonts w:hint="eastAsia" w:ascii="仿宋_GB2312" w:hAnsi="仿宋" w:eastAsia="仿宋_GB2312"/>
          <w:sz w:val="32"/>
        </w:rPr>
        <w:t>大力推进国际消费中心城市建设，继续实施商圈改造提升，释放消费潜力；积极推动消费升级，培育线上教育、在线医疗、远程办公等新业态，扩大健康、养老、旅游、文体等服务消费，支持新零售模式，促进线上线下融合发展。</w:t>
      </w:r>
    </w:p>
    <w:p>
      <w:pPr>
        <w:pBdr>
          <w:bottom w:val="single" w:color="FFFFFF" w:sz="4" w:space="17"/>
        </w:pBd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（二）突出精细管理，加快构建新型城市形态</w:t>
      </w:r>
    </w:p>
    <w:p>
      <w:pPr>
        <w:pBdr>
          <w:bottom w:val="single" w:color="FFFFFF" w:sz="4" w:space="17"/>
        </w:pBdr>
        <w:tabs>
          <w:tab w:val="left" w:pos="3038"/>
        </w:tabs>
        <w:adjustRightInd w:val="0"/>
        <w:snapToGrid w:val="0"/>
        <w:spacing w:line="560" w:lineRule="exact"/>
        <w:ind w:firstLine="643" w:firstLineChars="200"/>
        <w:rPr>
          <w:rFonts w:hint="eastAsia" w:ascii="仿宋_GB2312" w:hAnsi="FZSSK--GBK1-0" w:eastAsia="仿宋_GB2312"/>
          <w:sz w:val="32"/>
          <w:szCs w:val="32"/>
        </w:rPr>
      </w:pPr>
      <w:r>
        <w:rPr>
          <w:rFonts w:hint="eastAsia" w:ascii="仿宋_GB2312" w:eastAsia="仿宋_GB2312" w:cs="仿宋_GB2312"/>
          <w:b/>
          <w:bCs/>
          <w:snapToGrid w:val="0"/>
          <w:kern w:val="0"/>
          <w:sz w:val="32"/>
          <w:szCs w:val="32"/>
        </w:rPr>
        <w:t>优化提升城市治理效能。</w:t>
      </w:r>
      <w:r>
        <w:rPr>
          <w:rFonts w:hint="eastAsia" w:ascii="仿宋_GB2312" w:eastAsia="仿宋_GB2312" w:cs="仿宋_GB2312"/>
          <w:snapToGrid w:val="0"/>
          <w:kern w:val="0"/>
          <w:sz w:val="32"/>
          <w:szCs w:val="32"/>
        </w:rPr>
        <w:t>安排</w:t>
      </w:r>
      <w:r>
        <w:rPr>
          <w:rFonts w:hint="eastAsia" w:ascii="仿宋_GB2312" w:hAnsi="仿宋" w:eastAsia="仿宋_GB2312"/>
          <w:sz w:val="32"/>
        </w:rPr>
        <w:t>资金7.5亿元，</w:t>
      </w:r>
      <w:r>
        <w:rPr>
          <w:rFonts w:hint="eastAsia" w:ascii="仿宋_GB2312" w:eastAsia="仿宋_GB2312" w:cs="仿宋_GB2312"/>
          <w:snapToGrid w:val="0"/>
          <w:kern w:val="0"/>
          <w:sz w:val="32"/>
          <w:szCs w:val="32"/>
        </w:rPr>
        <w:t>大力推进智慧城市建设，加快“城市大脑”实施步伐，不断</w:t>
      </w:r>
      <w:r>
        <w:rPr>
          <w:rFonts w:hint="eastAsia" w:ascii="仿宋_GB2312" w:hAnsi="仿宋" w:eastAsia="仿宋_GB2312"/>
          <w:sz w:val="32"/>
        </w:rPr>
        <w:t>拓展智慧消防、智慧社区、智慧水务等应用场景，积极构建具有海淀特色的智能协同式新型城市治理应用体系。</w:t>
      </w:r>
      <w:r>
        <w:rPr>
          <w:rFonts w:hint="eastAsia" w:ascii="仿宋_GB2312" w:eastAsia="仿宋_GB2312" w:cs="仿宋_GB2312"/>
          <w:snapToGrid w:val="0"/>
          <w:kern w:val="0"/>
          <w:sz w:val="32"/>
          <w:szCs w:val="32"/>
        </w:rPr>
        <w:t>安排街道体制补助60.2亿元、社会建设专项资金3000万元等，</w:t>
      </w:r>
      <w:r>
        <w:rPr>
          <w:rFonts w:hint="eastAsia" w:ascii="仿宋_GB2312" w:eastAsia="仿宋_GB2312" w:cs="仿宋_GB2312"/>
          <w:bCs/>
          <w:snapToGrid w:val="0"/>
          <w:kern w:val="0"/>
          <w:sz w:val="32"/>
          <w:szCs w:val="32"/>
        </w:rPr>
        <w:t>深化“吹哨报到”改革，完善“接诉即办”机制，推动构建网格化管理、精细化服务、信息化支撑、开放共享的基层管理服务体系。</w:t>
      </w:r>
    </w:p>
    <w:p>
      <w:pPr>
        <w:pBdr>
          <w:bottom w:val="single" w:color="FFFFFF" w:sz="4" w:space="17"/>
        </w:pBdr>
        <w:tabs>
          <w:tab w:val="left" w:pos="3038"/>
        </w:tabs>
        <w:adjustRightInd w:val="0"/>
        <w:snapToGri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sz w:val="32"/>
        </w:rPr>
        <w:t>大力推进平安海淀建设</w:t>
      </w:r>
      <w:r>
        <w:rPr>
          <w:rFonts w:hint="eastAsia" w:ascii="仿宋_GB2312" w:eastAsia="仿宋_GB2312" w:cs="仿宋_GB2312"/>
          <w:b/>
          <w:snapToGrid w:val="0"/>
          <w:kern w:val="0"/>
          <w:sz w:val="32"/>
          <w:szCs w:val="32"/>
        </w:rPr>
        <w:t>。</w:t>
      </w:r>
      <w:r>
        <w:rPr>
          <w:rFonts w:hint="eastAsia" w:ascii="仿宋_GB2312" w:eastAsia="仿宋_GB2312" w:cs="仿宋_GB2312"/>
          <w:snapToGrid w:val="0"/>
          <w:kern w:val="0"/>
          <w:sz w:val="32"/>
          <w:szCs w:val="32"/>
        </w:rPr>
        <w:t>安排</w:t>
      </w:r>
      <w:r>
        <w:rPr>
          <w:rFonts w:hint="eastAsia" w:ascii="仿宋_GB2312" w:hAnsi="仿宋" w:eastAsia="仿宋_GB2312"/>
          <w:sz w:val="32"/>
        </w:rPr>
        <w:t>资金</w:t>
      </w:r>
      <w:r>
        <w:rPr>
          <w:rFonts w:hint="eastAsia" w:ascii="仿宋_GB2312" w:eastAsia="仿宋_GB2312" w:cs="仿宋_GB2312"/>
          <w:snapToGrid w:val="0"/>
          <w:kern w:val="0"/>
          <w:sz w:val="32"/>
          <w:szCs w:val="32"/>
        </w:rPr>
        <w:t>37.4亿元，把保护人民生命安全摆在首位，继续</w:t>
      </w:r>
      <w:r>
        <w:rPr>
          <w:rFonts w:hint="eastAsia" w:ascii="仿宋_GB2312" w:eastAsia="仿宋_GB2312" w:cs="仿宋_GB2312"/>
          <w:bCs/>
          <w:snapToGrid w:val="0"/>
          <w:kern w:val="0"/>
          <w:sz w:val="32"/>
          <w:szCs w:val="32"/>
        </w:rPr>
        <w:t>推进“雪亮工程”建设，</w:t>
      </w:r>
      <w:r>
        <w:rPr>
          <w:rFonts w:hint="eastAsia" w:ascii="仿宋_GB2312" w:eastAsia="仿宋_GB2312" w:cs="仿宋_GB2312"/>
          <w:snapToGrid w:val="0"/>
          <w:kern w:val="0"/>
          <w:sz w:val="32"/>
          <w:szCs w:val="32"/>
        </w:rPr>
        <w:t>深化司法体制综合配套改革，加强社会治安防控体系建设，坚决防范、打击暴力恐怖、黑恶势力和新型网络犯罪。安排</w:t>
      </w:r>
      <w:r>
        <w:rPr>
          <w:rFonts w:hint="eastAsia" w:ascii="仿宋_GB2312" w:hAnsi="仿宋" w:eastAsia="仿宋_GB2312"/>
          <w:sz w:val="32"/>
        </w:rPr>
        <w:t>资金</w:t>
      </w:r>
      <w:r>
        <w:rPr>
          <w:rFonts w:hint="eastAsia" w:ascii="仿宋_GB2312" w:eastAsia="仿宋_GB2312" w:cs="仿宋_GB2312"/>
          <w:snapToGrid w:val="0"/>
          <w:kern w:val="0"/>
          <w:sz w:val="32"/>
          <w:szCs w:val="32"/>
        </w:rPr>
        <w:t>6.5亿元，持续开展食品、药品、化妆品、医疗器械关键领域专项整治，力保关系人民健康的产品和服务安全；落实安全生产责任制，有效遏制重特大安全事故；完善应急管理体系，全面提高防灾、减灾、抗灾、救灾能力。</w:t>
      </w:r>
    </w:p>
    <w:p>
      <w:pPr>
        <w:pBdr>
          <w:bottom w:val="single" w:color="FFFFFF" w:sz="4" w:space="17"/>
        </w:pBdr>
        <w:tabs>
          <w:tab w:val="left" w:pos="3038"/>
        </w:tabs>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继续深化乡村振兴战略。</w:t>
      </w:r>
      <w:r>
        <w:rPr>
          <w:rFonts w:hint="eastAsia" w:ascii="仿宋_GB2312" w:eastAsia="仿宋_GB2312" w:cs="仿宋_GB2312"/>
          <w:snapToGrid w:val="0"/>
          <w:kern w:val="0"/>
          <w:sz w:val="32"/>
          <w:szCs w:val="32"/>
        </w:rPr>
        <w:t>安排镇级体制补助资金23.9亿元、农业农村发展资金2.9亿元和</w:t>
      </w:r>
      <w:r>
        <w:rPr>
          <w:rFonts w:hint="eastAsia" w:ascii="仿宋_GB2312" w:hAnsi="仿宋" w:eastAsia="仿宋_GB2312"/>
          <w:sz w:val="32"/>
          <w:szCs w:val="32"/>
        </w:rPr>
        <w:t>整建制农转非资金13.5亿元</w:t>
      </w:r>
      <w:r>
        <w:rPr>
          <w:rFonts w:hint="eastAsia" w:ascii="仿宋_GB2312" w:eastAsia="仿宋_GB2312" w:cs="仿宋_GB2312"/>
          <w:snapToGrid w:val="0"/>
          <w:kern w:val="0"/>
          <w:sz w:val="32"/>
          <w:szCs w:val="32"/>
        </w:rPr>
        <w:t>，持续推动城乡一体化建设，将环境整治与长效管护相结合，</w:t>
      </w:r>
      <w:r>
        <w:rPr>
          <w:rFonts w:hint="eastAsia" w:ascii="仿宋_GB2312" w:hAnsi="仿宋" w:eastAsia="仿宋_GB2312"/>
          <w:sz w:val="32"/>
          <w:szCs w:val="32"/>
        </w:rPr>
        <w:t>推进村庄准物业化管理试点、保留村美丽乡村建设工程和非保留村人居环境整治，</w:t>
      </w:r>
      <w:r>
        <w:rPr>
          <w:rFonts w:hint="eastAsia" w:ascii="仿宋_GB2312" w:eastAsia="仿宋_GB2312" w:cs="仿宋_GB2312"/>
          <w:snapToGrid w:val="0"/>
          <w:kern w:val="0"/>
          <w:sz w:val="32"/>
          <w:szCs w:val="32"/>
        </w:rPr>
        <w:t>全</w:t>
      </w:r>
      <w:r>
        <w:rPr>
          <w:rFonts w:hint="eastAsia" w:ascii="仿宋_GB2312" w:hAnsi="仿宋" w:eastAsia="仿宋_GB2312"/>
          <w:sz w:val="32"/>
          <w:szCs w:val="32"/>
        </w:rPr>
        <w:t>面提升海淀区城市化水平</w:t>
      </w:r>
      <w:r>
        <w:rPr>
          <w:rFonts w:hint="eastAsia" w:ascii="仿宋_GB2312" w:eastAsia="仿宋_GB2312" w:cs="仿宋_GB2312"/>
          <w:snapToGrid w:val="0"/>
          <w:kern w:val="0"/>
          <w:sz w:val="32"/>
          <w:szCs w:val="32"/>
        </w:rPr>
        <w:t>；加大农业现代化投入保障力度，</w:t>
      </w:r>
      <w:r>
        <w:rPr>
          <w:rFonts w:hint="eastAsia" w:ascii="仿宋_GB2312" w:eastAsia="仿宋_GB2312"/>
          <w:sz w:val="32"/>
          <w:szCs w:val="32"/>
        </w:rPr>
        <w:t>通过</w:t>
      </w:r>
      <w:r>
        <w:rPr>
          <w:rFonts w:hint="eastAsia" w:ascii="仿宋_GB2312" w:eastAsia="仿宋_GB2312" w:cs="仿宋_GB2312"/>
          <w:snapToGrid w:val="0"/>
          <w:kern w:val="0"/>
          <w:sz w:val="32"/>
          <w:szCs w:val="32"/>
        </w:rPr>
        <w:t>落实农技服务培训、化肥和农药减量增效示范推进、育种新技术研究等项目，支持农业高质量发展</w:t>
      </w:r>
      <w:r>
        <w:rPr>
          <w:rFonts w:hint="eastAsia" w:ascii="仿宋_GB2312" w:hAnsi="仿宋" w:eastAsia="仿宋_GB2312"/>
          <w:sz w:val="32"/>
          <w:szCs w:val="32"/>
        </w:rPr>
        <w:t>。</w:t>
      </w:r>
    </w:p>
    <w:p>
      <w:pPr>
        <w:pBdr>
          <w:bottom w:val="single" w:color="FFFFFF" w:sz="4" w:space="17"/>
        </w:pBdr>
        <w:tabs>
          <w:tab w:val="left" w:pos="3038"/>
        </w:tabs>
        <w:adjustRightInd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（三）筑牢生态基底，提质打造宜居宜业城区</w:t>
      </w:r>
    </w:p>
    <w:p>
      <w:pPr>
        <w:pBdr>
          <w:bottom w:val="single" w:color="FFFFFF" w:sz="4" w:space="17"/>
        </w:pBdr>
        <w:tabs>
          <w:tab w:val="left" w:pos="3038"/>
        </w:tabs>
        <w:adjustRightInd w:val="0"/>
        <w:snapToGrid w:val="0"/>
        <w:spacing w:line="560" w:lineRule="exact"/>
        <w:ind w:firstLine="643" w:firstLineChars="200"/>
        <w:rPr>
          <w:rFonts w:ascii="仿宋_GB2312" w:eastAsia="仿宋_GB2312"/>
          <w:sz w:val="32"/>
          <w:szCs w:val="32"/>
        </w:rPr>
      </w:pPr>
      <w:r>
        <w:rPr>
          <w:rFonts w:hint="eastAsia" w:ascii="仿宋_GB2312" w:hAnsi="仿宋" w:eastAsia="仿宋_GB2312"/>
          <w:b/>
          <w:sz w:val="32"/>
          <w:szCs w:val="32"/>
        </w:rPr>
        <w:t>深入打好污染防治攻坚战。</w:t>
      </w:r>
      <w:r>
        <w:rPr>
          <w:rFonts w:hint="eastAsia" w:ascii="仿宋_GB2312" w:eastAsia="仿宋_GB2312"/>
          <w:sz w:val="32"/>
          <w:szCs w:val="32"/>
        </w:rPr>
        <w:t>安排资金2.3亿元，继续开展“一微克”行动，全力推进大气污染防治各项任务，提升扬尘精细化管控水平。安排资金6.2亿元，坚持水岸共治、建管并举，开展河道养护保洁、污水处理及水清岸绿行动，为实现“水清岸绿、河畅景美”的城市环境目标提供有力保障。安排资金8.0亿元，</w:t>
      </w:r>
      <w:r>
        <w:rPr>
          <w:rFonts w:hint="eastAsia" w:ascii="仿宋_GB2312" w:eastAsia="仿宋_GB2312" w:cs="仿宋_GB2312"/>
          <w:sz w:val="32"/>
          <w:szCs w:val="32"/>
        </w:rPr>
        <w:t>积极开展国家森林城市创建工作，</w:t>
      </w:r>
      <w:r>
        <w:rPr>
          <w:rFonts w:hint="eastAsia" w:ascii="仿宋_GB2312" w:eastAsia="仿宋_GB2312"/>
          <w:sz w:val="32"/>
          <w:szCs w:val="32"/>
        </w:rPr>
        <w:t>落实生态林地补偿机制，支持生态林地、公园景观林地、道路绿地等养护工作；持续加强土壤环境监测和污染防治，营造生态宜居环境。</w:t>
      </w:r>
    </w:p>
    <w:p>
      <w:pPr>
        <w:pBdr>
          <w:bottom w:val="single" w:color="FFFFFF" w:sz="4" w:space="17"/>
        </w:pBdr>
        <w:tabs>
          <w:tab w:val="left" w:pos="3038"/>
        </w:tabs>
        <w:adjustRightInd w:val="0"/>
        <w:snapToGrid w:val="0"/>
        <w:spacing w:line="560" w:lineRule="exact"/>
        <w:ind w:firstLine="639" w:firstLineChars="199"/>
        <w:rPr>
          <w:rFonts w:hint="eastAsia" w:ascii="仿宋_GB2312" w:hAnsi="FZSSK--GBK1-0" w:eastAsia="仿宋_GB2312"/>
          <w:sz w:val="32"/>
          <w:szCs w:val="32"/>
        </w:rPr>
      </w:pPr>
      <w:r>
        <w:rPr>
          <w:rFonts w:hint="eastAsia" w:ascii="仿宋_GB2312" w:eastAsia="仿宋_GB2312"/>
          <w:b/>
          <w:sz w:val="32"/>
          <w:szCs w:val="32"/>
        </w:rPr>
        <w:t>不断提升区域环境品质。</w:t>
      </w:r>
      <w:r>
        <w:rPr>
          <w:rFonts w:hint="eastAsia" w:ascii="仿宋_GB2312" w:hAnsi="仿宋" w:eastAsia="仿宋_GB2312"/>
          <w:sz w:val="32"/>
        </w:rPr>
        <w:t>安排资金11.8亿元，</w:t>
      </w:r>
      <w:r>
        <w:rPr>
          <w:rFonts w:hint="eastAsia" w:ascii="仿宋_GB2312" w:eastAsia="仿宋_GB2312" w:cs="仿宋_GB2312"/>
          <w:snapToGrid w:val="0"/>
          <w:kern w:val="0"/>
          <w:sz w:val="32"/>
          <w:szCs w:val="32"/>
        </w:rPr>
        <w:t>精细实施新一轮“疏整促”行动，</w:t>
      </w:r>
      <w:r>
        <w:rPr>
          <w:rFonts w:hint="eastAsia" w:ascii="仿宋_GB2312" w:hAnsi="仿宋" w:eastAsia="仿宋_GB2312"/>
          <w:sz w:val="32"/>
        </w:rPr>
        <w:t>积极创建“基本无违法建设区”，推进背街小巷环境整治</w:t>
      </w:r>
      <w:r>
        <w:rPr>
          <w:rFonts w:hint="eastAsia" w:ascii="仿宋_GB2312" w:eastAsia="仿宋_GB2312" w:cs="仿宋_GB2312"/>
          <w:snapToGrid w:val="0"/>
          <w:kern w:val="0"/>
          <w:sz w:val="32"/>
          <w:szCs w:val="32"/>
        </w:rPr>
        <w:t>及</w:t>
      </w:r>
      <w:r>
        <w:rPr>
          <w:rFonts w:hint="eastAsia" w:ascii="仿宋_GB2312" w:hAnsi="仿宋" w:eastAsia="仿宋_GB2312"/>
          <w:sz w:val="32"/>
        </w:rPr>
        <w:t>架空线规范梳理等专项任务，在提升区域环境品质上迈上新台阶；继续</w:t>
      </w:r>
      <w:r>
        <w:rPr>
          <w:rFonts w:hint="eastAsia" w:ascii="仿宋_GB2312" w:eastAsia="仿宋_GB2312" w:cs="仿宋_GB2312"/>
          <w:snapToGrid w:val="0"/>
          <w:kern w:val="0"/>
          <w:sz w:val="32"/>
          <w:szCs w:val="32"/>
        </w:rPr>
        <w:t>深化道路分级管理，加强道路清扫保洁，保障公厕运维管护，在改善市容环境上</w:t>
      </w:r>
      <w:r>
        <w:rPr>
          <w:rFonts w:hint="eastAsia" w:ascii="仿宋_GB2312" w:hAnsi="仿宋" w:eastAsia="仿宋_GB2312"/>
          <w:sz w:val="32"/>
        </w:rPr>
        <w:t>取得新突破</w:t>
      </w:r>
      <w:r>
        <w:rPr>
          <w:rFonts w:hint="eastAsia" w:ascii="仿宋_GB2312" w:eastAsia="仿宋_GB2312" w:cs="仿宋_GB2312"/>
          <w:snapToGrid w:val="0"/>
          <w:kern w:val="0"/>
          <w:sz w:val="32"/>
          <w:szCs w:val="32"/>
        </w:rPr>
        <w:t>。</w:t>
      </w:r>
      <w:r>
        <w:rPr>
          <w:rFonts w:hint="eastAsia" w:ascii="仿宋_GB2312" w:hAnsi="仿宋" w:eastAsia="仿宋_GB2312"/>
          <w:sz w:val="32"/>
        </w:rPr>
        <w:t>安排资金5.8亿元，</w:t>
      </w:r>
      <w:r>
        <w:rPr>
          <w:rFonts w:hint="eastAsia" w:ascii="仿宋_GB2312" w:eastAsia="仿宋_GB2312"/>
          <w:sz w:val="32"/>
          <w:szCs w:val="32"/>
        </w:rPr>
        <w:t>基本实现道路停车改革全覆盖，不断提升道路交通设施养护水平，</w:t>
      </w:r>
      <w:r>
        <w:rPr>
          <w:rFonts w:hint="eastAsia" w:ascii="仿宋_GB2312" w:hAnsi="仿宋" w:eastAsia="仿宋_GB2312"/>
          <w:sz w:val="32"/>
        </w:rPr>
        <w:t>在交通综合治理上实现新跨越</w:t>
      </w:r>
      <w:r>
        <w:rPr>
          <w:rFonts w:hint="eastAsia" w:ascii="仿宋_GB2312" w:eastAsia="仿宋_GB2312"/>
          <w:sz w:val="32"/>
          <w:szCs w:val="32"/>
        </w:rPr>
        <w:t>。安排资金10.9亿元，开展海淀区非居民厨余垃圾计量收费管理，加强我区建筑垃圾综合管理和资源化利用，在推进垃圾治理上获得新成果。</w:t>
      </w: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r>
        <w:rPr>
          <w:rFonts w:hint="eastAsia" w:ascii="楷体_GB2312" w:eastAsia="楷体_GB2312" w:cs="楷体_GB2312"/>
          <w:sz w:val="32"/>
          <w:szCs w:val="32"/>
        </w:rPr>
        <w:t>（四）紧扣民生主线，</w:t>
      </w:r>
      <w:r>
        <w:rPr>
          <w:rFonts w:hint="eastAsia" w:ascii="楷体_GB2312" w:eastAsia="楷体_GB2312"/>
          <w:sz w:val="32"/>
          <w:szCs w:val="32"/>
        </w:rPr>
        <w:t>着力改善群众生活品质</w:t>
      </w:r>
    </w:p>
    <w:p>
      <w:pPr>
        <w:pBdr>
          <w:bottom w:val="single" w:color="FFFFFF" w:sz="4" w:space="17"/>
        </w:pBdr>
        <w:tabs>
          <w:tab w:val="left" w:pos="3038"/>
        </w:tabs>
        <w:adjustRightInd w:val="0"/>
        <w:snapToGrid w:val="0"/>
        <w:spacing w:line="560" w:lineRule="exact"/>
        <w:ind w:firstLine="643" w:firstLineChars="200"/>
        <w:rPr>
          <w:rFonts w:hint="eastAsia" w:ascii="仿宋_GB2312" w:hAnsi="FZSSK--GBK1-0" w:eastAsia="仿宋_GB2312"/>
          <w:sz w:val="32"/>
          <w:szCs w:val="32"/>
        </w:rPr>
      </w:pPr>
      <w:r>
        <w:rPr>
          <w:rFonts w:hint="eastAsia" w:ascii="仿宋_GB2312" w:eastAsia="仿宋_GB2312"/>
          <w:b/>
          <w:sz w:val="32"/>
          <w:szCs w:val="32"/>
        </w:rPr>
        <w:t>努力建成现代化教育强区。</w:t>
      </w:r>
      <w:r>
        <w:rPr>
          <w:rFonts w:hint="eastAsia" w:ascii="仿宋_GB2312" w:eastAsia="仿宋_GB2312" w:cs="仿宋_GB2312"/>
          <w:snapToGrid w:val="0"/>
          <w:kern w:val="0"/>
          <w:sz w:val="32"/>
          <w:szCs w:val="32"/>
        </w:rPr>
        <w:t>安排资金137.9亿元，全面落实市委市政府“双减”政策，减轻学生、家长、教师负担；促进学前教育规模和质量同步提升，构建以公办幼儿园和普惠性民办幼儿园为主体、公办民办并举的学前教育公共服务体系；推进教育与新技术融合发展，全面推进教育部批准的“双区”创建项目，促进信息技术与教育教学全方位深度融合；全力保障中小学学位供给，加大基础教育设施建设力度，推进优质教育资源向中关村科学城北区拓展。</w:t>
      </w:r>
    </w:p>
    <w:p>
      <w:pPr>
        <w:pBdr>
          <w:bottom w:val="single" w:color="FFFFFF" w:sz="4" w:space="17"/>
        </w:pBdr>
        <w:tabs>
          <w:tab w:val="left" w:pos="3038"/>
        </w:tabs>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积极发挥文化资源优势。</w:t>
      </w:r>
      <w:r>
        <w:rPr>
          <w:rFonts w:hint="eastAsia" w:ascii="仿宋_GB2312" w:eastAsia="仿宋_GB2312"/>
          <w:sz w:val="32"/>
          <w:szCs w:val="32"/>
        </w:rPr>
        <w:t>安排资金7.7亿元，持续提升现代公共文化服务效能，启动集成电路产业园图书馆等重点设施建设，有序推进公共文化场馆免费开放和设施设备维护升级；加强高质量公共文化供给，提升“海之春”“到人民中去”等品牌文化活动品质，大力支持文化产业园区发展以及文化空间拓展；加强“三山五园”地区整体保护，推进“三山五园”国家文物保护利用示范区创建及艺术中心建设。安排资金4.5亿元，全力做好冬奥会及冬残奥会属地保障工作；积极参与市运会，输送优质后备人才；完善体育健身场地和设施，推广群众体育活动，不断提高全民健身发展水平。</w:t>
      </w:r>
    </w:p>
    <w:p>
      <w:pPr>
        <w:pBdr>
          <w:bottom w:val="single" w:color="FFFFFF" w:sz="4" w:space="17"/>
        </w:pBdr>
        <w:tabs>
          <w:tab w:val="left" w:pos="3038"/>
        </w:tabs>
        <w:adjustRightInd w:val="0"/>
        <w:snapToGrid w:val="0"/>
        <w:spacing w:line="560" w:lineRule="exact"/>
        <w:ind w:firstLine="643" w:firstLineChars="200"/>
        <w:rPr>
          <w:rFonts w:hint="eastAsia" w:ascii="仿宋_GB2312" w:hAnsi="FZSSK--GBK1-0" w:eastAsia="仿宋_GB2312"/>
          <w:sz w:val="32"/>
          <w:szCs w:val="32"/>
        </w:rPr>
      </w:pPr>
      <w:r>
        <w:rPr>
          <w:rFonts w:hint="eastAsia" w:ascii="仿宋_GB2312" w:eastAsia="仿宋_GB2312"/>
          <w:b/>
          <w:sz w:val="32"/>
          <w:szCs w:val="32"/>
        </w:rPr>
        <w:t>持续健全社保就业体系。</w:t>
      </w:r>
      <w:r>
        <w:rPr>
          <w:rFonts w:hint="eastAsia" w:ascii="仿宋_GB2312" w:eastAsia="仿宋_GB2312" w:cs="仿宋_GB2312"/>
          <w:snapToGrid w:val="0"/>
          <w:kern w:val="0"/>
          <w:sz w:val="32"/>
          <w:szCs w:val="32"/>
        </w:rPr>
        <w:t>安排资金110.3亿元，健全多层次社会保障体系。其中：安排资金26.6亿元，落实城乡居民基本养老保险财政补助政策以及行政事业单位养老保险制度；安排资金2.3亿元，</w:t>
      </w:r>
      <w:r>
        <w:rPr>
          <w:rFonts w:hint="eastAsia" w:ascii="仿宋_GB2312" w:eastAsia="仿宋_GB2312"/>
          <w:sz w:val="32"/>
          <w:szCs w:val="32"/>
        </w:rPr>
        <w:t>积极稳定和扩大就业，</w:t>
      </w:r>
      <w:r>
        <w:rPr>
          <w:rFonts w:hint="eastAsia" w:ascii="仿宋_GB2312" w:eastAsia="仿宋_GB2312" w:cs="仿宋_GB2312"/>
          <w:snapToGrid w:val="0"/>
          <w:kern w:val="0"/>
          <w:sz w:val="32"/>
          <w:szCs w:val="32"/>
        </w:rPr>
        <w:t>精准做好就业服务，</w:t>
      </w:r>
      <w:r>
        <w:rPr>
          <w:rFonts w:hint="eastAsia" w:ascii="仿宋_GB2312" w:eastAsia="仿宋_GB2312"/>
          <w:sz w:val="32"/>
          <w:szCs w:val="32"/>
        </w:rPr>
        <w:t>切实保障劳动者待遇和权益</w:t>
      </w:r>
      <w:r>
        <w:rPr>
          <w:rFonts w:hint="eastAsia" w:ascii="仿宋_GB2312" w:eastAsia="仿宋_GB2312" w:cs="仿宋_GB2312"/>
          <w:snapToGrid w:val="0"/>
          <w:kern w:val="0"/>
          <w:sz w:val="32"/>
          <w:szCs w:val="32"/>
        </w:rPr>
        <w:t>；安排</w:t>
      </w:r>
      <w:r>
        <w:rPr>
          <w:rFonts w:hint="eastAsia" w:ascii="仿宋_GB2312" w:hAnsi="仿宋" w:eastAsia="仿宋_GB2312"/>
          <w:sz w:val="32"/>
        </w:rPr>
        <w:t>资金8.0</w:t>
      </w:r>
      <w:r>
        <w:rPr>
          <w:rFonts w:hint="eastAsia" w:ascii="仿宋_GB2312" w:eastAsia="仿宋_GB2312" w:cs="仿宋_GB2312"/>
          <w:snapToGrid w:val="0"/>
          <w:kern w:val="0"/>
          <w:sz w:val="32"/>
          <w:szCs w:val="32"/>
        </w:rPr>
        <w:t>亿元，用于支持家庭养老照护床位建设、加装电梯补贴、儿童福利院建设等，不断完善养老服务体系和社会救助体系建设；安排资金3.4亿元，对标冬残奥会各项保障要求，落实无障碍环境建设等残疾人保障政策；安排资金62.3亿元，继续做好军队移交政府的离退休人员、军转干部和退役士兵安置等服务保障工作。</w:t>
      </w:r>
    </w:p>
    <w:p>
      <w:pPr>
        <w:pBdr>
          <w:bottom w:val="single" w:color="FFFFFF" w:sz="4" w:space="17"/>
        </w:pBdr>
        <w:tabs>
          <w:tab w:val="left" w:pos="3038"/>
        </w:tabs>
        <w:adjustRightInd w:val="0"/>
        <w:snapToGrid w:val="0"/>
        <w:spacing w:line="560" w:lineRule="exact"/>
        <w:ind w:firstLine="643" w:firstLineChars="200"/>
        <w:rPr>
          <w:rFonts w:ascii="仿宋_GB2312" w:eastAsia="仿宋_GB2312" w:cs="仿宋_GB2312"/>
          <w:snapToGrid w:val="0"/>
          <w:kern w:val="0"/>
          <w:sz w:val="32"/>
          <w:szCs w:val="32"/>
        </w:rPr>
      </w:pPr>
      <w:r>
        <w:rPr>
          <w:rFonts w:hint="eastAsia" w:ascii="仿宋_GB2312" w:eastAsia="仿宋_GB2312"/>
          <w:b/>
          <w:sz w:val="32"/>
          <w:szCs w:val="32"/>
        </w:rPr>
        <w:t>全面深化健康海淀建设。</w:t>
      </w:r>
      <w:r>
        <w:rPr>
          <w:rFonts w:hint="eastAsia" w:ascii="仿宋_GB2312" w:eastAsia="仿宋_GB2312"/>
          <w:sz w:val="32"/>
          <w:szCs w:val="32"/>
        </w:rPr>
        <w:t>安排资金46.7亿元，</w:t>
      </w:r>
      <w:r>
        <w:rPr>
          <w:rFonts w:hint="eastAsia" w:ascii="仿宋_GB2312" w:eastAsia="仿宋_GB2312" w:cs="仿宋_GB2312"/>
          <w:snapToGrid w:val="0"/>
          <w:kern w:val="0"/>
          <w:sz w:val="32"/>
          <w:szCs w:val="32"/>
        </w:rPr>
        <w:t>巩固拓展国家卫生区和全国健康促进区创建成果，</w:t>
      </w:r>
      <w:r>
        <w:rPr>
          <w:rFonts w:hint="eastAsia" w:ascii="仿宋_GB2312" w:eastAsia="仿宋_GB2312"/>
          <w:sz w:val="32"/>
          <w:szCs w:val="32"/>
        </w:rPr>
        <w:t>为人民提供全方位健康服务</w:t>
      </w:r>
      <w:r>
        <w:rPr>
          <w:rFonts w:hint="eastAsia" w:ascii="仿宋_GB2312" w:eastAsia="仿宋_GB2312" w:cs="仿宋_GB2312"/>
          <w:snapToGrid w:val="0"/>
          <w:kern w:val="0"/>
          <w:sz w:val="32"/>
          <w:szCs w:val="32"/>
        </w:rPr>
        <w:t>。其中：安排资金7.1亿元，</w:t>
      </w:r>
      <w:r>
        <w:rPr>
          <w:rFonts w:hint="eastAsia" w:ascii="仿宋_GB2312" w:eastAsia="仿宋_GB2312"/>
          <w:sz w:val="32"/>
          <w:szCs w:val="32"/>
        </w:rPr>
        <w:t>用于院前急救站点运营、新冠病毒核酸检测、医疗设备购置等，支持</w:t>
      </w:r>
      <w:r>
        <w:rPr>
          <w:rFonts w:hint="eastAsia" w:ascii="仿宋_GB2312" w:eastAsia="仿宋_GB2312" w:cs="仿宋_GB2312"/>
          <w:snapToGrid w:val="0"/>
          <w:kern w:val="0"/>
          <w:sz w:val="32"/>
          <w:szCs w:val="32"/>
        </w:rPr>
        <w:t>“一村一室（站）建设”，补齐“空白村”医疗卫生短板，</w:t>
      </w:r>
      <w:r>
        <w:rPr>
          <w:rFonts w:hint="eastAsia" w:ascii="仿宋_GB2312" w:eastAsia="仿宋_GB2312"/>
          <w:sz w:val="32"/>
          <w:szCs w:val="32"/>
        </w:rPr>
        <w:t>筑牢农村公共卫生防线，提升公共卫生应急管理水平；安排资金3.5亿元，开展儿童、老年人等各类人群的公共卫生服务工作；</w:t>
      </w:r>
      <w:r>
        <w:rPr>
          <w:rFonts w:hint="eastAsia" w:ascii="仿宋_GB2312" w:eastAsia="仿宋_GB2312" w:cs="仿宋_GB2312"/>
          <w:snapToGrid w:val="0"/>
          <w:kern w:val="0"/>
          <w:sz w:val="32"/>
          <w:szCs w:val="32"/>
        </w:rPr>
        <w:t>安排资金21.7亿元，落实城乡居民基本医疗保险、医疗救助等各项保障政策，织密公共卫生安全防护网。</w:t>
      </w:r>
    </w:p>
    <w:p>
      <w:pPr>
        <w:pBdr>
          <w:bottom w:val="single" w:color="FFFFFF" w:sz="4" w:space="17"/>
        </w:pBdr>
        <w:adjustRightInd w:val="0"/>
        <w:snapToGrid w:val="0"/>
        <w:spacing w:line="560" w:lineRule="exact"/>
        <w:ind w:firstLine="643" w:firstLineChars="200"/>
        <w:rPr>
          <w:rFonts w:ascii="仿宋_GB2312" w:hAnsi="仿宋" w:eastAsia="仿宋_GB2312"/>
          <w:kern w:val="0"/>
          <w:sz w:val="32"/>
          <w:szCs w:val="32"/>
        </w:rPr>
      </w:pPr>
      <w:r>
        <w:rPr>
          <w:rFonts w:hint="eastAsia" w:ascii="仿宋_GB2312" w:eastAsia="仿宋_GB2312" w:cs="仿宋_GB2312"/>
          <w:b/>
          <w:snapToGrid w:val="0"/>
          <w:kern w:val="0"/>
          <w:sz w:val="32"/>
          <w:szCs w:val="32"/>
        </w:rPr>
        <w:t>不断提升群众居住品质。</w:t>
      </w:r>
      <w:r>
        <w:rPr>
          <w:rFonts w:hint="eastAsia" w:ascii="仿宋_GB2312" w:hAnsi="仿宋" w:eastAsia="仿宋_GB2312"/>
          <w:kern w:val="0"/>
          <w:sz w:val="32"/>
          <w:szCs w:val="32"/>
        </w:rPr>
        <w:t>安排资金11.5亿元，加快建立多主体供给、多渠道保障、租购并举的住房保障制度，</w:t>
      </w:r>
      <w:r>
        <w:rPr>
          <w:rFonts w:hint="eastAsia" w:ascii="仿宋_GB2312" w:hAnsi="仿宋" w:eastAsia="仿宋_GB2312"/>
          <w:snapToGrid w:val="0"/>
          <w:kern w:val="0"/>
          <w:sz w:val="32"/>
          <w:szCs w:val="32"/>
        </w:rPr>
        <w:t>深入推进老旧小区综合整治，提升居民生活舒适度和便利度；加大房源筹集力度，</w:t>
      </w:r>
      <w:r>
        <w:rPr>
          <w:rFonts w:hint="eastAsia" w:ascii="仿宋_GB2312" w:hAnsi="仿宋" w:eastAsia="仿宋_GB2312"/>
          <w:kern w:val="0"/>
          <w:sz w:val="32"/>
          <w:szCs w:val="32"/>
        </w:rPr>
        <w:t>趸租社会房源作为公租房使用；大力推进公租房市场化发展，加大公租房租金补贴和市场化租赁补贴力度，解决中低收入家庭的住房需求，改善群众住房条件; 着力提高业委会组建率、党组织覆盖率、物业服务覆盖率，深入开展突出问题专项治理，提升物业服务管理整体水平。</w:t>
      </w:r>
    </w:p>
    <w:p>
      <w:pPr>
        <w:pBdr>
          <w:bottom w:val="single" w:color="FFFFFF" w:sz="4" w:space="17"/>
        </w:pBdr>
        <w:adjustRightInd w:val="0"/>
        <w:snapToGri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sz w:val="32"/>
          <w:szCs w:val="32"/>
        </w:rPr>
        <w:t>进一步巩固脱贫攻坚成果。</w:t>
      </w:r>
      <w:r>
        <w:rPr>
          <w:rFonts w:hint="eastAsia" w:ascii="仿宋_GB2312" w:eastAsia="仿宋_GB2312" w:cs="仿宋_GB2312"/>
          <w:snapToGrid w:val="0"/>
          <w:kern w:val="0"/>
          <w:sz w:val="32"/>
          <w:szCs w:val="32"/>
        </w:rPr>
        <w:t>安排区级专项资金9000万元，结合结对地区新阶段发展需要，落实好对受援地的帮扶协作工作任务，创新项目实施方式，着力推进教育、医疗、消费、产业帮扶和协作，</w:t>
      </w:r>
      <w:r>
        <w:rPr>
          <w:rFonts w:hint="eastAsia" w:ascii="仿宋_GB2312" w:hAnsi="仿宋" w:eastAsia="仿宋_GB2312"/>
          <w:sz w:val="32"/>
          <w:szCs w:val="32"/>
        </w:rPr>
        <w:t>加快推进巩固拓展脱贫攻坚成果同乡村振兴战略的有效衔接，</w:t>
      </w:r>
      <w:r>
        <w:rPr>
          <w:rFonts w:hint="eastAsia" w:ascii="仿宋_GB2312" w:eastAsia="仿宋_GB2312" w:cs="仿宋_GB2312"/>
          <w:snapToGrid w:val="0"/>
          <w:kern w:val="0"/>
          <w:sz w:val="32"/>
          <w:szCs w:val="32"/>
        </w:rPr>
        <w:t>确保结对地区脱贫不返贫。同时，根据市委、市政府关于推动生态涵养区生态保护和绿色发展的工作部署，继续安排海淀延庆结对资金1.0亿元，围绕服务保障冬奥、生态环境、乡村振兴等方面，进一步深化协作，争创北京市平原区与生态涵养区结对协作标杆。</w:t>
      </w:r>
    </w:p>
    <w:p>
      <w:pPr>
        <w:tabs>
          <w:tab w:val="left" w:pos="3038"/>
        </w:tabs>
        <w:snapToGrid w:val="0"/>
        <w:spacing w:line="560" w:lineRule="exact"/>
        <w:jc w:val="center"/>
        <w:rPr>
          <w:rFonts w:ascii="黑体" w:eastAsia="黑体" w:cs="黑体"/>
          <w:snapToGrid w:val="0"/>
          <w:kern w:val="0"/>
          <w:sz w:val="32"/>
          <w:szCs w:val="32"/>
        </w:rPr>
      </w:pPr>
      <w:r>
        <w:rPr>
          <w:rFonts w:hint="eastAsia" w:ascii="黑体" w:eastAsia="黑体" w:cs="黑体"/>
          <w:snapToGrid w:val="0"/>
          <w:kern w:val="0"/>
          <w:sz w:val="32"/>
          <w:szCs w:val="32"/>
        </w:rPr>
        <w:t>第三部分</w:t>
      </w:r>
      <w:r>
        <w:rPr>
          <w:rFonts w:ascii="黑体" w:eastAsia="黑体" w:cs="黑体"/>
          <w:snapToGrid w:val="0"/>
          <w:kern w:val="0"/>
          <w:sz w:val="32"/>
          <w:szCs w:val="32"/>
        </w:rPr>
        <w:t xml:space="preserve">  20</w:t>
      </w:r>
      <w:r>
        <w:rPr>
          <w:rFonts w:hint="eastAsia" w:ascii="黑体" w:eastAsia="黑体" w:cs="黑体"/>
          <w:snapToGrid w:val="0"/>
          <w:kern w:val="0"/>
          <w:sz w:val="32"/>
          <w:szCs w:val="32"/>
        </w:rPr>
        <w:t>22</w:t>
      </w:r>
      <w:r>
        <w:rPr>
          <w:rFonts w:ascii="黑体" w:eastAsia="黑体" w:cs="黑体"/>
          <w:snapToGrid w:val="0"/>
          <w:kern w:val="0"/>
          <w:sz w:val="32"/>
          <w:szCs w:val="32"/>
        </w:rPr>
        <w:t>年</w:t>
      </w:r>
      <w:r>
        <w:rPr>
          <w:rFonts w:hint="eastAsia" w:ascii="黑体" w:eastAsia="黑体" w:cs="黑体"/>
          <w:snapToGrid w:val="0"/>
          <w:kern w:val="0"/>
          <w:sz w:val="32"/>
          <w:szCs w:val="32"/>
        </w:rPr>
        <w:t>财政工作各项任务</w:t>
      </w:r>
    </w:p>
    <w:p>
      <w:pPr>
        <w:tabs>
          <w:tab w:val="left" w:pos="3038"/>
        </w:tabs>
        <w:snapToGrid w:val="0"/>
        <w:spacing w:line="560" w:lineRule="exact"/>
        <w:ind w:firstLine="640" w:firstLineChars="200"/>
        <w:jc w:val="center"/>
        <w:rPr>
          <w:rFonts w:ascii="黑体" w:eastAsia="黑体" w:cs="黑体"/>
          <w:snapToGrid w:val="0"/>
          <w:kern w:val="0"/>
          <w:sz w:val="32"/>
          <w:szCs w:val="32"/>
          <w:highlight w:val="yellow"/>
        </w:rPr>
      </w:pPr>
    </w:p>
    <w:p>
      <w:pPr>
        <w:pStyle w:val="28"/>
        <w:tabs>
          <w:tab w:val="left" w:pos="3038"/>
        </w:tabs>
        <w:spacing w:line="560" w:lineRule="exact"/>
        <w:ind w:firstLine="640"/>
        <w:rPr>
          <w:rFonts w:ascii="黑体" w:hAnsi="黑体" w:eastAsia="黑体"/>
          <w:sz w:val="32"/>
          <w:szCs w:val="32"/>
        </w:rPr>
      </w:pPr>
      <w:r>
        <w:rPr>
          <w:rFonts w:hint="eastAsia" w:ascii="黑体" w:hAnsi="黑体" w:eastAsia="黑体"/>
          <w:sz w:val="32"/>
          <w:szCs w:val="32"/>
        </w:rPr>
        <w:t>一、找准两个“发力点”，增强财政收入可持续性</w:t>
      </w:r>
    </w:p>
    <w:p>
      <w:pPr>
        <w:widowControl/>
        <w:shd w:val="clear" w:color="auto" w:fill="FFFFFF"/>
        <w:tabs>
          <w:tab w:val="left" w:pos="3038"/>
        </w:tabs>
        <w:spacing w:line="560" w:lineRule="exact"/>
        <w:ind w:firstLine="627" w:firstLineChars="196"/>
        <w:rPr>
          <w:rFonts w:ascii="楷体_GB2312" w:eastAsia="楷体_GB2312"/>
          <w:bCs/>
          <w:snapToGrid w:val="0"/>
          <w:kern w:val="0"/>
          <w:sz w:val="32"/>
          <w:szCs w:val="32"/>
        </w:rPr>
      </w:pPr>
      <w:r>
        <w:rPr>
          <w:rFonts w:hint="eastAsia" w:ascii="楷体_GB2312" w:eastAsia="楷体_GB2312"/>
          <w:bCs/>
          <w:snapToGrid w:val="0"/>
          <w:kern w:val="0"/>
          <w:sz w:val="32"/>
          <w:szCs w:val="32"/>
        </w:rPr>
        <w:t>（一）在加强财源建设上发力，提升财政收入精度</w:t>
      </w:r>
    </w:p>
    <w:p>
      <w:pPr>
        <w:tabs>
          <w:tab w:val="left" w:pos="3038"/>
        </w:tabs>
        <w:adjustRightInd w:val="0"/>
        <w:spacing w:line="560" w:lineRule="exact"/>
        <w:ind w:firstLine="643" w:firstLineChars="200"/>
        <w:textAlignment w:val="baseline"/>
        <w:rPr>
          <w:rFonts w:ascii="仿宋_GB2312" w:eastAsia="仿宋_GB2312"/>
          <w:bCs/>
          <w:sz w:val="32"/>
          <w:szCs w:val="32"/>
        </w:rPr>
      </w:pPr>
      <w:r>
        <w:rPr>
          <w:rFonts w:hint="eastAsia" w:ascii="仿宋_GB2312" w:eastAsia="仿宋_GB2312"/>
          <w:b/>
          <w:bCs/>
          <w:sz w:val="32"/>
          <w:szCs w:val="32"/>
        </w:rPr>
        <w:t>一是</w:t>
      </w:r>
      <w:r>
        <w:rPr>
          <w:rFonts w:hint="eastAsia" w:ascii="仿宋_GB2312" w:eastAsia="仿宋_GB2312"/>
          <w:bCs/>
          <w:sz w:val="32"/>
          <w:szCs w:val="32"/>
        </w:rPr>
        <w:t>深入挖掘存量财源增长潜力。落实中央战略部署，积极应对央企疏解，释放央企发展新活力；提升平台类企业管理能力，重点关注“双减”带来的持续性影响，促进平台经济高质量发展。</w:t>
      </w:r>
      <w:r>
        <w:rPr>
          <w:rFonts w:hint="eastAsia" w:ascii="仿宋_GB2312" w:eastAsia="仿宋_GB2312"/>
          <w:b/>
          <w:bCs/>
          <w:sz w:val="32"/>
          <w:szCs w:val="32"/>
        </w:rPr>
        <w:t>二是</w:t>
      </w:r>
      <w:r>
        <w:rPr>
          <w:rFonts w:hint="eastAsia" w:ascii="仿宋_GB2312" w:eastAsia="仿宋_GB2312"/>
          <w:bCs/>
          <w:sz w:val="32"/>
          <w:szCs w:val="32"/>
        </w:rPr>
        <w:t>提升资源与收入贡献匹配度。发挥好政府、国企、属地服务优势，引导企业规范经营，加快引进优质财源。</w:t>
      </w:r>
      <w:r>
        <w:rPr>
          <w:rFonts w:hint="eastAsia" w:ascii="仿宋_GB2312" w:eastAsia="仿宋_GB2312"/>
          <w:b/>
          <w:bCs/>
          <w:sz w:val="32"/>
          <w:szCs w:val="32"/>
        </w:rPr>
        <w:t>三是</w:t>
      </w:r>
      <w:r>
        <w:rPr>
          <w:rFonts w:hint="eastAsia" w:ascii="仿宋_GB2312" w:eastAsia="仿宋_GB2312"/>
          <w:bCs/>
          <w:sz w:val="32"/>
          <w:szCs w:val="32"/>
        </w:rPr>
        <w:t>加强对重点行业、产业、项目跟踪，为收入提供多点支撑。强化重点行业和产业收入监测，持续挖掘新的收入增长点；开展纳税充足度分析，构建科学高效的财源指标体系；强化重点落地项目跟踪和分析，推进项目尽快达产增效。</w:t>
      </w:r>
    </w:p>
    <w:p>
      <w:pPr>
        <w:widowControl/>
        <w:shd w:val="clear" w:color="auto" w:fill="FFFFFF"/>
        <w:tabs>
          <w:tab w:val="left" w:pos="3038"/>
        </w:tabs>
        <w:spacing w:line="560" w:lineRule="exact"/>
        <w:ind w:firstLine="627" w:firstLineChars="196"/>
        <w:rPr>
          <w:rFonts w:ascii="楷体_GB2312" w:eastAsia="楷体_GB2312"/>
          <w:bCs/>
          <w:snapToGrid w:val="0"/>
          <w:kern w:val="0"/>
          <w:sz w:val="32"/>
          <w:szCs w:val="32"/>
        </w:rPr>
      </w:pPr>
      <w:r>
        <w:rPr>
          <w:rFonts w:hint="eastAsia" w:ascii="楷体_GB2312" w:eastAsia="楷体_GB2312"/>
          <w:bCs/>
          <w:snapToGrid w:val="0"/>
          <w:kern w:val="0"/>
          <w:sz w:val="32"/>
          <w:szCs w:val="32"/>
        </w:rPr>
        <w:t>（二）在合理举债融资上发力，扩充财政收入维度</w:t>
      </w:r>
    </w:p>
    <w:p>
      <w:pPr>
        <w:tabs>
          <w:tab w:val="left" w:pos="3038"/>
        </w:tabs>
        <w:adjustRightInd w:val="0"/>
        <w:spacing w:line="56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建立健全依法适度举债机制。坚持举债规模与偿债能力相匹配原则，合理把握债券发行节奏，加大跨周期调节力度，统筹做好预算平衡和年度举债计划。</w:t>
      </w:r>
      <w:r>
        <w:rPr>
          <w:rFonts w:hint="eastAsia" w:eastAsia="仿宋_GB2312"/>
          <w:sz w:val="32"/>
          <w:szCs w:val="32"/>
        </w:rPr>
        <w:t>对于我区产业园区及配套设施建设、棚户区改造等资金需求量较大的项目，加强一般公共预算资金、财政结余资金、土地出让收入等各类资金的统筹调度，同时</w:t>
      </w:r>
      <w:r>
        <w:rPr>
          <w:rFonts w:hint="eastAsia" w:ascii="仿宋_GB2312" w:eastAsia="仿宋_GB2312"/>
          <w:bCs/>
          <w:sz w:val="32"/>
          <w:szCs w:val="32"/>
        </w:rPr>
        <w:t>在债务风险绿色区域内，积极争取市级债券资金，为区域重点项目提供有力资金保障。</w:t>
      </w:r>
    </w:p>
    <w:p>
      <w:pPr>
        <w:pStyle w:val="28"/>
        <w:tabs>
          <w:tab w:val="left" w:pos="3038"/>
        </w:tabs>
        <w:spacing w:line="560" w:lineRule="exact"/>
        <w:ind w:firstLine="640"/>
        <w:rPr>
          <w:rFonts w:ascii="黑体" w:hAnsi="黑体" w:eastAsia="黑体"/>
          <w:sz w:val="32"/>
          <w:szCs w:val="32"/>
        </w:rPr>
      </w:pPr>
      <w:r>
        <w:rPr>
          <w:rFonts w:hint="eastAsia" w:ascii="黑体" w:hAnsi="黑体" w:eastAsia="黑体"/>
          <w:sz w:val="32"/>
          <w:szCs w:val="32"/>
        </w:rPr>
        <w:t>二、抓住三个“着力点”，精准实施积极财政政策</w:t>
      </w:r>
    </w:p>
    <w:p>
      <w:pPr>
        <w:widowControl/>
        <w:shd w:val="clear" w:color="auto" w:fill="FFFFFF"/>
        <w:tabs>
          <w:tab w:val="left" w:pos="3038"/>
        </w:tabs>
        <w:spacing w:line="560" w:lineRule="exact"/>
        <w:ind w:firstLine="627" w:firstLineChars="196"/>
        <w:rPr>
          <w:rFonts w:ascii="楷体_GB2312" w:eastAsia="楷体_GB2312"/>
          <w:bCs/>
          <w:snapToGrid w:val="0"/>
          <w:kern w:val="0"/>
          <w:sz w:val="32"/>
          <w:szCs w:val="32"/>
        </w:rPr>
      </w:pPr>
      <w:r>
        <w:rPr>
          <w:rFonts w:hint="eastAsia" w:ascii="楷体_GB2312" w:eastAsia="楷体_GB2312"/>
          <w:bCs/>
          <w:snapToGrid w:val="0"/>
          <w:kern w:val="0"/>
          <w:sz w:val="32"/>
          <w:szCs w:val="32"/>
        </w:rPr>
        <w:t>（一）着力推进财金协同，助力提升区域经济发展质量</w:t>
      </w:r>
    </w:p>
    <w:p>
      <w:pPr>
        <w:widowControl/>
        <w:shd w:val="clear" w:color="auto" w:fill="FFFFFF"/>
        <w:tabs>
          <w:tab w:val="left" w:pos="3038"/>
        </w:tabs>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深入落实中央及北京市关于完善国有金融资本管理的文件精神，积极做好财政履行金融资本出资人职责重大改革相关工作，不断优化我区国有金融资本战略布局。</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确保中关村科学城城市更新与发展基金稳健运行，切实增强产业引导和资源管控能力，助力区域经济高质量发展。</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继续落实《中小微企业贷款贴息实施细则》，降低中小微企业融资成本，为辖区中小微企业发展保驾护航。</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继续优化财金协同平台运营，接入税务、工商登记等企业综合运营数据，依托“企业大数据”，助力中小微企业安全快速获得贷款。</w:t>
      </w: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持续发挥融资担保基金风险分担作用，扩大中小微企业受益面，实现政府、银行、企业多方共赢。</w:t>
      </w:r>
    </w:p>
    <w:p>
      <w:pPr>
        <w:widowControl/>
        <w:shd w:val="clear" w:color="auto" w:fill="FFFFFF"/>
        <w:tabs>
          <w:tab w:val="left" w:pos="3038"/>
        </w:tabs>
        <w:spacing w:line="560" w:lineRule="exact"/>
        <w:ind w:firstLine="627" w:firstLineChars="196"/>
        <w:rPr>
          <w:rFonts w:ascii="楷体_GB2312" w:eastAsia="楷体_GB2312"/>
          <w:bCs/>
          <w:snapToGrid w:val="0"/>
          <w:kern w:val="0"/>
          <w:sz w:val="32"/>
          <w:szCs w:val="32"/>
        </w:rPr>
      </w:pPr>
      <w:r>
        <w:rPr>
          <w:rFonts w:hint="eastAsia" w:ascii="楷体_GB2312" w:eastAsia="楷体_GB2312"/>
          <w:bCs/>
          <w:snapToGrid w:val="0"/>
          <w:kern w:val="0"/>
          <w:sz w:val="32"/>
          <w:szCs w:val="32"/>
        </w:rPr>
        <w:t>（二）着力强化绩效管理，推进预算和绩效管理深度融合</w:t>
      </w:r>
    </w:p>
    <w:p>
      <w:pPr>
        <w:pBdr>
          <w:bottom w:val="single" w:color="FFFFFF" w:sz="4" w:space="17"/>
        </w:pBdr>
        <w:tabs>
          <w:tab w:val="left" w:pos="3038"/>
        </w:tabs>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围绕绩效目标和指标设置主线，提高绩效目标管理科学化、规范化、标准化水平，逐步建立同类项目绩效目标指标体系。</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加强全成本绩效分析，逐步建立科学合理、规范统一的预算支出标准体系，强化结果应用，为优化预算编制提供依据，实现预算分配有法可依、有据可查。</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进一步拓展政策绩效评价和政策事前评估的范围，以成果运用为导向，调整低效政策，取消无效政策，促进预算绩效管理与政策绩效管理体系的协同。</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加强专项评价，积极探索建立专项债券评价、政府投资资金评价、中央直达资金评价等管理机制。</w:t>
      </w:r>
    </w:p>
    <w:p>
      <w:pPr>
        <w:pBdr>
          <w:bottom w:val="single" w:color="FFFFFF" w:sz="4" w:space="17"/>
        </w:pBdr>
        <w:tabs>
          <w:tab w:val="left" w:pos="3038"/>
        </w:tabs>
        <w:adjustRightInd w:val="0"/>
        <w:snapToGrid w:val="0"/>
        <w:spacing w:line="560" w:lineRule="exact"/>
        <w:ind w:firstLine="640" w:firstLineChars="200"/>
        <w:rPr>
          <w:rFonts w:ascii="楷体_GB2312" w:eastAsia="楷体_GB2312"/>
          <w:bCs/>
          <w:snapToGrid w:val="0"/>
          <w:kern w:val="0"/>
          <w:sz w:val="32"/>
          <w:szCs w:val="32"/>
        </w:rPr>
      </w:pPr>
      <w:r>
        <w:rPr>
          <w:rFonts w:hint="eastAsia" w:ascii="楷体_GB2312" w:eastAsia="楷体_GB2312"/>
          <w:bCs/>
          <w:snapToGrid w:val="0"/>
          <w:kern w:val="0"/>
          <w:sz w:val="32"/>
          <w:szCs w:val="32"/>
        </w:rPr>
        <w:t>（三）着力完善公共服务，稳步提升政府购买服务水平</w:t>
      </w:r>
    </w:p>
    <w:p>
      <w:pPr>
        <w:pBdr>
          <w:bottom w:val="single" w:color="FFFFFF" w:sz="4" w:space="17"/>
        </w:pBdr>
        <w:tabs>
          <w:tab w:val="left" w:pos="3038"/>
        </w:tabs>
        <w:adjustRightInd w:val="0"/>
        <w:snapToGrid w:val="0"/>
        <w:spacing w:line="560" w:lineRule="exact"/>
        <w:ind w:firstLine="643" w:firstLineChars="200"/>
        <w:rPr>
          <w:rFonts w:ascii="仿宋_GB2312" w:eastAsia="仿宋_GB2312" w:cs="仿宋_GB2312"/>
          <w:snapToGrid w:val="0"/>
          <w:color w:val="000000" w:themeColor="text1"/>
          <w:kern w:val="0"/>
          <w:sz w:val="32"/>
          <w:szCs w:val="32"/>
          <w14:textFill>
            <w14:solidFill>
              <w14:schemeClr w14:val="tx1"/>
            </w14:solidFill>
          </w14:textFill>
        </w:rPr>
      </w:pPr>
      <w:r>
        <w:rPr>
          <w:rFonts w:hint="eastAsia" w:ascii="仿宋_GB2312" w:eastAsia="仿宋_GB2312" w:cs="仿宋_GB2312"/>
          <w:b/>
          <w:snapToGrid w:val="0"/>
          <w:color w:val="000000" w:themeColor="text1"/>
          <w:kern w:val="0"/>
          <w:sz w:val="32"/>
          <w:szCs w:val="32"/>
          <w14:textFill>
            <w14:solidFill>
              <w14:schemeClr w14:val="tx1"/>
            </w14:solidFill>
          </w14:textFill>
        </w:rPr>
        <w:t>一是</w:t>
      </w:r>
      <w:r>
        <w:rPr>
          <w:rFonts w:hint="eastAsia" w:ascii="仿宋_GB2312" w:eastAsia="仿宋_GB2312" w:cs="仿宋_GB2312"/>
          <w:snapToGrid w:val="0"/>
          <w:color w:val="000000" w:themeColor="text1"/>
          <w:kern w:val="0"/>
          <w:sz w:val="32"/>
          <w:szCs w:val="32"/>
          <w14:textFill>
            <w14:solidFill>
              <w14:schemeClr w14:val="tx1"/>
            </w14:solidFill>
          </w14:textFill>
        </w:rPr>
        <w:t>坚持突出公共性和公益性原则，压缩政府购买履职辅助性服务支出，提升区域公共服务质量。</w:t>
      </w:r>
      <w:r>
        <w:rPr>
          <w:rFonts w:hint="eastAsia" w:ascii="仿宋_GB2312" w:eastAsia="仿宋_GB2312" w:cs="仿宋_GB2312"/>
          <w:b/>
          <w:snapToGrid w:val="0"/>
          <w:color w:val="000000" w:themeColor="text1"/>
          <w:kern w:val="0"/>
          <w:sz w:val="32"/>
          <w:szCs w:val="32"/>
          <w14:textFill>
            <w14:solidFill>
              <w14:schemeClr w14:val="tx1"/>
            </w14:solidFill>
          </w14:textFill>
        </w:rPr>
        <w:t>二是</w:t>
      </w:r>
      <w:r>
        <w:rPr>
          <w:rFonts w:hint="eastAsia" w:ascii="仿宋_GB2312" w:eastAsia="仿宋_GB2312" w:cs="仿宋_GB2312"/>
          <w:snapToGrid w:val="0"/>
          <w:color w:val="000000" w:themeColor="text1"/>
          <w:kern w:val="0"/>
          <w:sz w:val="32"/>
          <w:szCs w:val="32"/>
          <w14:textFill>
            <w14:solidFill>
              <w14:schemeClr w14:val="tx1"/>
            </w14:solidFill>
          </w14:textFill>
        </w:rPr>
        <w:t>逐步推行职能部门联审和人大监督机制，进一步强化预算单位购买主体责任，提高预算编制严谨性和科学性。</w:t>
      </w:r>
      <w:r>
        <w:rPr>
          <w:rFonts w:hint="eastAsia" w:ascii="仿宋_GB2312" w:eastAsia="仿宋_GB2312" w:cs="仿宋_GB2312"/>
          <w:b/>
          <w:snapToGrid w:val="0"/>
          <w:color w:val="000000" w:themeColor="text1"/>
          <w:kern w:val="0"/>
          <w:sz w:val="32"/>
          <w:szCs w:val="32"/>
          <w14:textFill>
            <w14:solidFill>
              <w14:schemeClr w14:val="tx1"/>
            </w14:solidFill>
          </w14:textFill>
        </w:rPr>
        <w:t>三是</w:t>
      </w:r>
      <w:r>
        <w:rPr>
          <w:rFonts w:hint="eastAsia" w:ascii="仿宋_GB2312" w:eastAsia="仿宋_GB2312" w:cs="仿宋_GB2312"/>
          <w:bCs/>
          <w:snapToGrid w:val="0"/>
          <w:color w:val="000000" w:themeColor="text1"/>
          <w:kern w:val="0"/>
          <w:sz w:val="32"/>
          <w:szCs w:val="32"/>
          <w14:textFill>
            <w14:solidFill>
              <w14:schemeClr w14:val="tx1"/>
            </w14:solidFill>
          </w14:textFill>
        </w:rPr>
        <w:t>强化政府购买服务绩效管理</w:t>
      </w:r>
      <w:r>
        <w:rPr>
          <w:rFonts w:hint="eastAsia" w:ascii="仿宋_GB2312" w:eastAsia="仿宋_GB2312" w:cs="仿宋_GB2312"/>
          <w:snapToGrid w:val="0"/>
          <w:color w:val="000000" w:themeColor="text1"/>
          <w:kern w:val="0"/>
          <w:sz w:val="32"/>
          <w:szCs w:val="32"/>
          <w14:textFill>
            <w14:solidFill>
              <w14:schemeClr w14:val="tx1"/>
            </w14:solidFill>
          </w14:textFill>
        </w:rPr>
        <w:t>，通过开展政府购买服务项目事前绩效目标填报及</w:t>
      </w:r>
      <w:r>
        <w:rPr>
          <w:rFonts w:hint="eastAsia" w:ascii="仿宋_GB2312" w:eastAsia="仿宋_GB2312" w:cs="仿宋_GB2312"/>
          <w:bCs/>
          <w:snapToGrid w:val="0"/>
          <w:color w:val="000000" w:themeColor="text1"/>
          <w:kern w:val="0"/>
          <w:sz w:val="32"/>
          <w:szCs w:val="32"/>
          <w14:textFill>
            <w14:solidFill>
              <w14:schemeClr w14:val="tx1"/>
            </w14:solidFill>
          </w14:textFill>
        </w:rPr>
        <w:t>重点领域</w:t>
      </w:r>
      <w:r>
        <w:rPr>
          <w:rFonts w:hint="eastAsia" w:ascii="仿宋_GB2312" w:eastAsia="仿宋_GB2312" w:cs="仿宋_GB2312"/>
          <w:snapToGrid w:val="0"/>
          <w:color w:val="000000" w:themeColor="text1"/>
          <w:kern w:val="0"/>
          <w:sz w:val="32"/>
          <w:szCs w:val="32"/>
          <w14:textFill>
            <w14:solidFill>
              <w14:schemeClr w14:val="tx1"/>
            </w14:solidFill>
          </w14:textFill>
        </w:rPr>
        <w:t>事后财政绩效评价，规范项目实施，切实发挥好政府购买服务改善公共服务质量的积极作用。</w:t>
      </w:r>
    </w:p>
    <w:p>
      <w:pPr>
        <w:pBdr>
          <w:bottom w:val="single" w:color="FFFFFF" w:sz="4" w:space="17"/>
        </w:pBdr>
        <w:tabs>
          <w:tab w:val="left" w:pos="3038"/>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cs="仿宋_GB2312"/>
          <w:snapToGrid w:val="0"/>
          <w:color w:val="000000" w:themeColor="text1"/>
          <w:kern w:val="0"/>
          <w:sz w:val="32"/>
          <w:szCs w:val="32"/>
          <w14:textFill>
            <w14:solidFill>
              <w14:schemeClr w14:val="tx1"/>
            </w14:solidFill>
          </w14:textFill>
        </w:rPr>
        <w:t>三、</w:t>
      </w:r>
      <w:r>
        <w:rPr>
          <w:rFonts w:hint="eastAsia" w:ascii="黑体" w:hAnsi="黑体" w:eastAsia="黑体"/>
          <w:sz w:val="32"/>
          <w:szCs w:val="32"/>
        </w:rPr>
        <w:t>聚力四个“突破点”，深化预算管理制度改革</w:t>
      </w:r>
    </w:p>
    <w:p>
      <w:pPr>
        <w:pBdr>
          <w:bottom w:val="single" w:color="FFFFFF" w:sz="4" w:space="17"/>
        </w:pBdr>
        <w:tabs>
          <w:tab w:val="left" w:pos="3038"/>
        </w:tabs>
        <w:adjustRightInd w:val="0"/>
        <w:snapToGrid w:val="0"/>
        <w:spacing w:line="560" w:lineRule="exact"/>
        <w:ind w:firstLine="640" w:firstLineChars="200"/>
        <w:rPr>
          <w:rFonts w:ascii="楷体_GB2312" w:eastAsia="楷体_GB2312"/>
          <w:bCs/>
          <w:snapToGrid w:val="0"/>
          <w:kern w:val="0"/>
          <w:sz w:val="32"/>
          <w:szCs w:val="32"/>
        </w:rPr>
      </w:pPr>
      <w:r>
        <w:rPr>
          <w:rFonts w:hint="eastAsia" w:ascii="楷体_GB2312" w:eastAsia="楷体_GB2312"/>
          <w:bCs/>
          <w:snapToGrid w:val="0"/>
          <w:kern w:val="0"/>
          <w:sz w:val="32"/>
          <w:szCs w:val="32"/>
        </w:rPr>
        <w:t>（一）以“财政支出政策”为突破点，持续提升财政资金配置效率</w:t>
      </w:r>
    </w:p>
    <w:p>
      <w:pPr>
        <w:pBdr>
          <w:bottom w:val="single" w:color="FFFFFF" w:sz="4" w:space="17"/>
        </w:pBdr>
        <w:tabs>
          <w:tab w:val="left" w:pos="3038"/>
        </w:tabs>
        <w:adjustRightInd w:val="0"/>
        <w:snapToGrid w:val="0"/>
        <w:spacing w:line="560" w:lineRule="exact"/>
        <w:ind w:firstLine="643" w:firstLineChars="200"/>
        <w:rPr>
          <w:rFonts w:ascii="仿宋_GB2312" w:eastAsia="仿宋_GB2312"/>
          <w:sz w:val="32"/>
          <w:szCs w:val="32"/>
        </w:rPr>
      </w:pPr>
      <w:r>
        <w:rPr>
          <w:rFonts w:hint="eastAsia" w:ascii="仿宋_GB2312" w:hAnsi="Calibri" w:eastAsia="仿宋_GB2312" w:cs="仿宋_GB2312"/>
          <w:b/>
          <w:sz w:val="32"/>
          <w:szCs w:val="32"/>
        </w:rPr>
        <w:t>一是</w:t>
      </w:r>
      <w:r>
        <w:rPr>
          <w:rFonts w:hint="eastAsia" w:ascii="仿宋_GB2312" w:hAnsi="Calibri" w:eastAsia="仿宋_GB2312" w:cs="仿宋_GB2312"/>
          <w:sz w:val="32"/>
          <w:szCs w:val="32"/>
        </w:rPr>
        <w:t>依托北京市预算管理一体化平台，</w:t>
      </w:r>
      <w:r>
        <w:rPr>
          <w:rFonts w:hint="eastAsia" w:ascii="仿宋_GB2312" w:eastAsia="仿宋_GB2312"/>
          <w:sz w:val="32"/>
          <w:szCs w:val="32"/>
        </w:rPr>
        <w:t>完善支出政策管理机制，定期按照发文部门、支出领域、执行期限等要素进行多维度梳理分析，及时清理过期、作废的文件，补充缺失文件，确保政策体系全面完整。</w:t>
      </w:r>
      <w:r>
        <w:rPr>
          <w:rFonts w:hint="eastAsia" w:ascii="仿宋_GB2312" w:eastAsia="仿宋_GB2312"/>
          <w:b/>
          <w:sz w:val="32"/>
          <w:szCs w:val="32"/>
        </w:rPr>
        <w:t>二是</w:t>
      </w:r>
      <w:r>
        <w:rPr>
          <w:rFonts w:hint="eastAsia" w:ascii="仿宋_GB2312" w:eastAsia="仿宋_GB2312"/>
          <w:sz w:val="32"/>
          <w:szCs w:val="32"/>
        </w:rPr>
        <w:t>做好支出政策与预算安排衔接，强化支出政策对预算安排的指导性，细化预算编制，着力解决支出结构固化问题。</w:t>
      </w:r>
      <w:r>
        <w:rPr>
          <w:rFonts w:hint="eastAsia" w:ascii="仿宋_GB2312" w:eastAsia="仿宋_GB2312"/>
          <w:b/>
          <w:sz w:val="32"/>
          <w:szCs w:val="32"/>
        </w:rPr>
        <w:t>三是</w:t>
      </w:r>
      <w:r>
        <w:rPr>
          <w:rFonts w:hint="eastAsia" w:ascii="仿宋_GB2312" w:eastAsia="仿宋_GB2312"/>
          <w:sz w:val="32"/>
          <w:szCs w:val="32"/>
        </w:rPr>
        <w:t>建立预算支出政策审查机制，原则上不再出台新的增支政策，对确需出台的政策加强事前论证，做好财政承受能力评估，</w:t>
      </w:r>
      <w:r>
        <w:rPr>
          <w:rFonts w:hint="eastAsia" w:ascii="仿宋_GB2312" w:eastAsia="仿宋_GB2312" w:cs="仿宋_GB2312"/>
          <w:snapToGrid w:val="0"/>
          <w:kern w:val="0"/>
          <w:sz w:val="32"/>
          <w:szCs w:val="32"/>
        </w:rPr>
        <w:t>防范化解财政运行风险，增强财政可持续性。</w:t>
      </w:r>
      <w:r>
        <w:rPr>
          <w:rFonts w:hint="eastAsia" w:ascii="仿宋_GB2312" w:eastAsia="仿宋_GB2312"/>
          <w:b/>
          <w:sz w:val="32"/>
          <w:szCs w:val="32"/>
        </w:rPr>
        <w:t>四是</w:t>
      </w:r>
      <w:r>
        <w:rPr>
          <w:rFonts w:hint="eastAsia" w:ascii="仿宋_GB2312" w:eastAsia="仿宋_GB2312"/>
          <w:sz w:val="32"/>
          <w:szCs w:val="32"/>
        </w:rPr>
        <w:t>做好政策全过程绩效管理，加强整改情况跟踪监督，对于绩效评价不高的政策建立退出机制，及时对政策目标偏离情况进行纠正，提升财政政策管理效能。</w:t>
      </w:r>
    </w:p>
    <w:p>
      <w:pPr>
        <w:pBdr>
          <w:bottom w:val="single" w:color="FFFFFF" w:sz="4" w:space="17"/>
        </w:pBdr>
        <w:tabs>
          <w:tab w:val="left" w:pos="3038"/>
        </w:tabs>
        <w:adjustRightInd w:val="0"/>
        <w:snapToGrid w:val="0"/>
        <w:spacing w:line="560" w:lineRule="exact"/>
        <w:ind w:firstLine="640" w:firstLineChars="200"/>
        <w:rPr>
          <w:rFonts w:ascii="楷体_GB2312" w:eastAsia="楷体_GB2312"/>
          <w:bCs/>
          <w:snapToGrid w:val="0"/>
          <w:kern w:val="0"/>
          <w:sz w:val="32"/>
          <w:szCs w:val="32"/>
        </w:rPr>
      </w:pPr>
      <w:r>
        <w:rPr>
          <w:rFonts w:hint="eastAsia" w:ascii="楷体_GB2312" w:eastAsia="楷体_GB2312"/>
          <w:bCs/>
          <w:snapToGrid w:val="0"/>
          <w:kern w:val="0"/>
          <w:sz w:val="32"/>
          <w:szCs w:val="32"/>
        </w:rPr>
        <w:t>（二）以“财政可持续发展”为突破点，有效筑牢财政资金安全底线</w:t>
      </w:r>
    </w:p>
    <w:p>
      <w:pPr>
        <w:pBdr>
          <w:bottom w:val="single" w:color="FFFFFF" w:sz="4" w:space="17"/>
        </w:pBdr>
        <w:tabs>
          <w:tab w:val="left" w:pos="3038"/>
        </w:tabs>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大力优化支出结构，深化“零基预算”理念，打破支出固化僵化格局，坚决兜住“三保”底线，</w:t>
      </w:r>
      <w:r>
        <w:rPr>
          <w:rFonts w:ascii="仿宋_GB2312" w:hAnsi="仿宋_GB2312" w:eastAsia="仿宋_GB2312" w:cs="仿宋_GB2312"/>
          <w:sz w:val="32"/>
          <w:szCs w:val="32"/>
        </w:rPr>
        <w:t>加大重点领域和刚性支出保障力度</w:t>
      </w:r>
      <w:r>
        <w:rPr>
          <w:rFonts w:hint="eastAsia" w:ascii="仿宋_GB2312" w:hAnsi="仿宋_GB2312" w:eastAsia="仿宋_GB2312" w:cs="仿宋_GB2312"/>
          <w:sz w:val="32"/>
          <w:szCs w:val="32"/>
        </w:rPr>
        <w:t>，确保支出结构更加合理。</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建立党政机关过“紧日子”的长效机制，把严把紧预算支出关口，深入挖掘节支潜力，严控一般性支出，强化财政评审、绩效评估评价结果应用，建立节约型财政保障机制。</w:t>
      </w:r>
      <w:r>
        <w:rPr>
          <w:rFonts w:hint="eastAsia" w:ascii="仿宋_GB2312" w:hAnsi="仿宋_GB2312" w:eastAsia="仿宋_GB2312" w:cs="仿宋_GB2312"/>
          <w:b/>
          <w:sz w:val="32"/>
          <w:szCs w:val="32"/>
        </w:rPr>
        <w:t>三是</w:t>
      </w:r>
      <w:r>
        <w:rPr>
          <w:rFonts w:ascii="仿宋_GB2312" w:hAnsi="仿宋_GB2312" w:eastAsia="仿宋_GB2312" w:cs="仿宋_GB2312"/>
          <w:sz w:val="32"/>
          <w:szCs w:val="32"/>
        </w:rPr>
        <w:t>推进财政支出标准化建设，稳步</w:t>
      </w:r>
      <w:r>
        <w:rPr>
          <w:rFonts w:hint="eastAsia" w:ascii="仿宋_GB2312" w:hAnsi="仿宋_GB2312" w:eastAsia="仿宋_GB2312" w:cs="仿宋_GB2312"/>
          <w:sz w:val="32"/>
          <w:szCs w:val="32"/>
        </w:rPr>
        <w:t>建立预算项目支出标准体系，加快推进项目要素、项目文本、绩效指标等标准化、规范化</w:t>
      </w:r>
      <w:r>
        <w:rPr>
          <w:rFonts w:ascii="仿宋_GB2312" w:hAnsi="仿宋_GB2312" w:eastAsia="仿宋_GB2312" w:cs="仿宋_GB2312"/>
          <w:sz w:val="32"/>
          <w:szCs w:val="32"/>
        </w:rPr>
        <w:t>。</w:t>
      </w:r>
    </w:p>
    <w:p>
      <w:pPr>
        <w:pBdr>
          <w:bottom w:val="single" w:color="FFFFFF" w:sz="4" w:space="17"/>
        </w:pBdr>
        <w:tabs>
          <w:tab w:val="left" w:pos="3038"/>
        </w:tabs>
        <w:adjustRightInd w:val="0"/>
        <w:snapToGrid w:val="0"/>
        <w:spacing w:line="560" w:lineRule="exact"/>
        <w:ind w:firstLine="640" w:firstLineChars="200"/>
        <w:rPr>
          <w:rFonts w:ascii="楷体_GB2312" w:eastAsia="楷体_GB2312"/>
          <w:bCs/>
          <w:snapToGrid w:val="0"/>
          <w:kern w:val="0"/>
          <w:sz w:val="32"/>
          <w:szCs w:val="32"/>
        </w:rPr>
      </w:pPr>
      <w:r>
        <w:rPr>
          <w:rFonts w:hint="eastAsia" w:ascii="楷体_GB2312" w:eastAsia="楷体_GB2312"/>
          <w:bCs/>
          <w:snapToGrid w:val="0"/>
          <w:kern w:val="0"/>
          <w:sz w:val="32"/>
          <w:szCs w:val="32"/>
        </w:rPr>
        <w:t>（三）以“</w:t>
      </w:r>
      <w:r>
        <w:rPr>
          <w:rFonts w:hint="eastAsia" w:ascii="楷体_GB2312" w:eastAsia="楷体_GB2312"/>
          <w:bCs/>
          <w:snapToGrid w:val="0"/>
          <w:kern w:val="0"/>
          <w:sz w:val="32"/>
          <w:szCs w:val="32"/>
          <w:lang w:val="en-US" w:eastAsia="zh-CN"/>
        </w:rPr>
        <w:t>加强资源统筹</w:t>
      </w:r>
      <w:r>
        <w:rPr>
          <w:rFonts w:hint="eastAsia" w:ascii="楷体_GB2312" w:eastAsia="楷体_GB2312"/>
          <w:bCs/>
          <w:snapToGrid w:val="0"/>
          <w:kern w:val="0"/>
          <w:sz w:val="32"/>
          <w:szCs w:val="32"/>
        </w:rPr>
        <w:t>”为突破点，进一步提升财政管理效能</w:t>
      </w:r>
    </w:p>
    <w:p>
      <w:pPr>
        <w:pBdr>
          <w:bottom w:val="single" w:color="FFFFFF" w:sz="4" w:space="17"/>
        </w:pBdr>
        <w:tabs>
          <w:tab w:val="left" w:pos="3038"/>
        </w:tabs>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eastAsia="仿宋_GB2312"/>
          <w:b/>
          <w:bCs/>
          <w:sz w:val="32"/>
          <w:szCs w:val="32"/>
        </w:rPr>
        <w:t>一是</w:t>
      </w:r>
      <w:r>
        <w:rPr>
          <w:rFonts w:hint="eastAsia" w:ascii="仿宋_GB2312" w:eastAsia="仿宋_GB2312"/>
          <w:bCs/>
          <w:sz w:val="32"/>
          <w:szCs w:val="32"/>
        </w:rPr>
        <w:t>加大结余资金清理力度。持续加强对预算单位加油卡结余、财政代管资金结余、非预算单位财政性结余的管理，定期对使用情况和余额进行梳理核实，避免资金沉淀。</w:t>
      </w:r>
      <w:r>
        <w:rPr>
          <w:rFonts w:hint="eastAsia" w:ascii="仿宋_GB2312" w:eastAsia="仿宋_GB2312"/>
          <w:b/>
          <w:bCs/>
          <w:sz w:val="32"/>
          <w:szCs w:val="32"/>
        </w:rPr>
        <w:t>二是</w:t>
      </w:r>
      <w:r>
        <w:rPr>
          <w:rFonts w:hint="eastAsia" w:ascii="仿宋_GB2312" w:eastAsia="仿宋_GB2312"/>
          <w:bCs/>
          <w:sz w:val="32"/>
          <w:szCs w:val="32"/>
        </w:rPr>
        <w:t>严格落实全口径预算管理。将财政专户管理资金收入、单位资金收入等全部纳入部门预算，加强财政统筹，有效发挥资金合力。</w:t>
      </w:r>
      <w:r>
        <w:rPr>
          <w:rFonts w:hint="eastAsia" w:ascii="仿宋_GB2312" w:eastAsia="仿宋_GB2312"/>
          <w:b/>
          <w:bCs/>
          <w:sz w:val="32"/>
          <w:szCs w:val="32"/>
        </w:rPr>
        <w:t>三是</w:t>
      </w:r>
      <w:r>
        <w:rPr>
          <w:rFonts w:hint="eastAsia" w:ascii="仿宋_GB2312" w:eastAsia="仿宋_GB2312"/>
          <w:b w:val="0"/>
          <w:bCs w:val="0"/>
          <w:sz w:val="32"/>
          <w:szCs w:val="32"/>
          <w:lang w:val="en-US" w:eastAsia="zh-CN"/>
        </w:rPr>
        <w:t>加</w:t>
      </w:r>
      <w:r>
        <w:rPr>
          <w:rFonts w:hint="eastAsia" w:ascii="仿宋_GB2312" w:eastAsia="仿宋_GB2312"/>
          <w:b w:val="0"/>
          <w:bCs w:val="0"/>
          <w:sz w:val="32"/>
          <w:lang w:val="en-US" w:eastAsia="zh-CN"/>
        </w:rPr>
        <w:t>强</w:t>
      </w:r>
      <w:r>
        <w:rPr>
          <w:rFonts w:hint="eastAsia" w:ascii="仿宋_GB2312" w:eastAsia="仿宋_GB2312"/>
          <w:sz w:val="32"/>
          <w:lang w:val="en-US" w:eastAsia="zh-CN"/>
        </w:rPr>
        <w:t>财政资源统筹力度</w:t>
      </w:r>
      <w:r>
        <w:rPr>
          <w:rFonts w:hint="eastAsia" w:ascii="仿宋_GB2312" w:eastAsia="仿宋_GB2312"/>
          <w:sz w:val="32"/>
          <w:szCs w:val="32"/>
        </w:rPr>
        <w:t>。</w:t>
      </w:r>
      <w:r>
        <w:rPr>
          <w:rFonts w:hint="eastAsia" w:ascii="仿宋_GB2312" w:eastAsia="仿宋_GB2312"/>
          <w:bCs/>
          <w:sz w:val="32"/>
          <w:szCs w:val="32"/>
        </w:rPr>
        <w:t>提高区属行政事业单位资产管理主体责任意识，确保资产安全完整、高效利用，强化区内实物资产的共享共用，促进长期低效运转、闲置和超标准配置资产以及临时配置资产的调剂使用</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持续</w:t>
      </w:r>
      <w:r>
        <w:rPr>
          <w:rFonts w:hint="eastAsia" w:ascii="仿宋_GB2312" w:eastAsia="仿宋_GB2312"/>
          <w:sz w:val="32"/>
          <w:lang w:val="en-US" w:eastAsia="zh-CN"/>
        </w:rPr>
        <w:t>推进资产管理与预算管理、财务管理相结合，提高财政资源配置效率，</w:t>
      </w:r>
      <w:r>
        <w:rPr>
          <w:rFonts w:hint="eastAsia" w:ascii="仿宋_GB2312" w:hAnsi="仿宋_GB2312" w:eastAsia="仿宋_GB2312" w:cs="仿宋_GB2312"/>
          <w:sz w:val="32"/>
          <w:szCs w:val="32"/>
        </w:rPr>
        <w:t>提高财政资源配置效益。</w:t>
      </w:r>
    </w:p>
    <w:p>
      <w:pPr>
        <w:pBdr>
          <w:bottom w:val="single" w:color="FFFFFF" w:sz="4" w:space="17"/>
        </w:pBdr>
        <w:tabs>
          <w:tab w:val="left" w:pos="3038"/>
        </w:tabs>
        <w:adjustRightInd w:val="0"/>
        <w:snapToGrid w:val="0"/>
        <w:spacing w:line="560" w:lineRule="exact"/>
        <w:ind w:firstLine="640" w:firstLineChars="200"/>
        <w:rPr>
          <w:rFonts w:ascii="楷体_GB2312" w:eastAsia="楷体_GB2312"/>
          <w:bCs/>
          <w:snapToGrid w:val="0"/>
          <w:kern w:val="0"/>
          <w:sz w:val="32"/>
          <w:szCs w:val="32"/>
        </w:rPr>
      </w:pPr>
      <w:r>
        <w:rPr>
          <w:rFonts w:hint="eastAsia" w:ascii="楷体_GB2312" w:eastAsia="楷体_GB2312"/>
          <w:bCs/>
          <w:snapToGrid w:val="0"/>
          <w:kern w:val="0"/>
          <w:sz w:val="32"/>
          <w:szCs w:val="32"/>
        </w:rPr>
        <w:t>（四）以“人大、审计审查监督”为突破点，不断提升财政管理水平</w:t>
      </w:r>
    </w:p>
    <w:p>
      <w:pPr>
        <w:pBdr>
          <w:bottom w:val="single" w:color="FFFFFF" w:sz="4" w:space="17"/>
        </w:pBdr>
        <w:tabs>
          <w:tab w:val="left" w:pos="3038"/>
        </w:tabs>
        <w:adjustRightInd w:val="0"/>
        <w:snapToGrid w:val="0"/>
        <w:spacing w:line="560" w:lineRule="exact"/>
        <w:ind w:firstLine="803" w:firstLineChars="250"/>
        <w:rPr>
          <w:rFonts w:ascii="仿宋_GB2312" w:eastAsia="仿宋_GB2312" w:cs="仿宋_GB2312"/>
          <w:snapToGrid w:val="0"/>
          <w:kern w:val="0"/>
          <w:sz w:val="32"/>
          <w:szCs w:val="32"/>
        </w:rPr>
      </w:pPr>
      <w:r>
        <w:rPr>
          <w:rFonts w:hint="eastAsia" w:ascii="仿宋_GB2312" w:eastAsia="仿宋_GB2312" w:cs="仿宋_GB2312"/>
          <w:b/>
          <w:snapToGrid w:val="0"/>
          <w:kern w:val="0"/>
          <w:sz w:val="32"/>
          <w:szCs w:val="32"/>
        </w:rPr>
        <w:t>一是</w:t>
      </w:r>
      <w:r>
        <w:rPr>
          <w:rFonts w:hint="eastAsia" w:ascii="仿宋_GB2312" w:eastAsia="仿宋_GB2312" w:cs="仿宋_GB2312"/>
          <w:snapToGrid w:val="0"/>
          <w:kern w:val="0"/>
          <w:sz w:val="32"/>
          <w:szCs w:val="32"/>
        </w:rPr>
        <w:t>加强与人大代表的沟通，回应关心关切，自觉接受监督，认真研究吸纳代表的意见建议，将其作为编制年度预算、分配财政资金、制订支出政策的重要参考。</w:t>
      </w:r>
      <w:r>
        <w:rPr>
          <w:rFonts w:hint="eastAsia" w:ascii="仿宋_GB2312" w:eastAsia="仿宋_GB2312" w:cs="仿宋_GB2312"/>
          <w:b/>
          <w:snapToGrid w:val="0"/>
          <w:kern w:val="0"/>
          <w:sz w:val="32"/>
          <w:szCs w:val="32"/>
        </w:rPr>
        <w:t>二是</w:t>
      </w:r>
      <w:r>
        <w:rPr>
          <w:rFonts w:hint="eastAsia" w:ascii="仿宋_GB2312" w:eastAsia="仿宋_GB2312" w:cs="仿宋_GB2312"/>
          <w:snapToGrid w:val="0"/>
          <w:kern w:val="0"/>
          <w:sz w:val="32"/>
          <w:szCs w:val="32"/>
        </w:rPr>
        <w:t>强化审计整改，建立审计问题清单，确保逐条逐项整改落实到位；建立落实整改长效机制，通过完善制度、加强内控建设等措施，有效堵塞管理漏洞。</w:t>
      </w:r>
      <w:r>
        <w:rPr>
          <w:rFonts w:hint="eastAsia" w:ascii="仿宋_GB2312" w:eastAsia="仿宋_GB2312" w:cs="仿宋_GB2312"/>
          <w:b/>
          <w:snapToGrid w:val="0"/>
          <w:kern w:val="0"/>
          <w:sz w:val="32"/>
          <w:szCs w:val="32"/>
        </w:rPr>
        <w:t>三是</w:t>
      </w:r>
      <w:r>
        <w:rPr>
          <w:rFonts w:hint="eastAsia" w:ascii="仿宋_GB2312" w:eastAsia="仿宋_GB2312" w:cs="仿宋_GB2312"/>
          <w:snapToGrid w:val="0"/>
          <w:kern w:val="0"/>
          <w:sz w:val="32"/>
          <w:szCs w:val="32"/>
        </w:rPr>
        <w:t>加大财政监督检查力度，结合新形势、新要求，切实做好减税降费、直达资金、政府债务、会计信息质量等重大资金政策及重点突出问题的监督检查。</w:t>
      </w:r>
    </w:p>
    <w:p>
      <w:pPr>
        <w:pBdr>
          <w:bottom w:val="single" w:color="FFFFFF" w:sz="4" w:space="17"/>
        </w:pBdr>
        <w:tabs>
          <w:tab w:val="left" w:pos="3038"/>
        </w:tabs>
        <w:adjustRightInd w:val="0"/>
        <w:snapToGrid w:val="0"/>
        <w:spacing w:line="560" w:lineRule="exact"/>
        <w:ind w:firstLine="800" w:firstLineChars="250"/>
        <w:rPr>
          <w:rFonts w:ascii="仿宋_GB2312" w:eastAsia="仿宋_GB2312" w:cs="仿宋_GB2312"/>
          <w:snapToGrid w:val="0"/>
          <w:kern w:val="0"/>
          <w:sz w:val="32"/>
          <w:szCs w:val="32"/>
        </w:rPr>
      </w:pPr>
    </w:p>
    <w:p>
      <w:pPr>
        <w:pBdr>
          <w:bottom w:val="single" w:color="FFFFFF" w:sz="4" w:space="17"/>
        </w:pBdr>
        <w:tabs>
          <w:tab w:val="left" w:pos="3038"/>
        </w:tabs>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cs="仿宋_GB2312"/>
          <w:snapToGrid w:val="0"/>
          <w:kern w:val="0"/>
          <w:sz w:val="32"/>
          <w:szCs w:val="32"/>
        </w:rPr>
        <w:t>各位代表，</w:t>
      </w:r>
      <w:r>
        <w:rPr>
          <w:rFonts w:hint="eastAsia" w:ascii="仿宋_GB2312" w:eastAsia="仿宋_GB2312"/>
          <w:sz w:val="32"/>
          <w:szCs w:val="32"/>
        </w:rPr>
        <w:t>2022年是实施“十四五”规划的深耕之年。</w:t>
      </w:r>
      <w:r>
        <w:rPr>
          <w:rFonts w:hint="eastAsia" w:ascii="仿宋_GB2312" w:eastAsia="仿宋_GB2312" w:cs="仿宋_GB2312"/>
          <w:snapToGrid w:val="0"/>
          <w:kern w:val="0"/>
          <w:sz w:val="32"/>
          <w:szCs w:val="32"/>
        </w:rPr>
        <w:t>我们将在区委、区政府的坚强领导下，在区人大及社会各界的监督和支持下，</w:t>
      </w:r>
      <w:r>
        <w:rPr>
          <w:rFonts w:hint="eastAsia" w:ascii="仿宋_GB2312" w:hAnsi="宋体" w:eastAsia="仿宋_GB2312"/>
          <w:sz w:val="32"/>
          <w:szCs w:val="32"/>
        </w:rPr>
        <w:t>以首都发展为统领，</w:t>
      </w:r>
      <w:r>
        <w:rPr>
          <w:rFonts w:hint="eastAsia" w:ascii="仿宋_GB2312" w:eastAsia="仿宋_GB2312" w:cs="仿宋_GB2312"/>
          <w:snapToGrid w:val="0"/>
          <w:kern w:val="0"/>
          <w:sz w:val="32"/>
          <w:szCs w:val="32"/>
        </w:rPr>
        <w:t>坚持稳字当头、稳中求进，继续推动积极的财政政策提升效能，更加注重精准、可持续，以“依法行政、为民理财”的使命担当之勇，</w:t>
      </w:r>
      <w:r>
        <w:rPr>
          <w:rFonts w:hint="eastAsia" w:ascii="仿宋_GB2312" w:hAnsi="宋体" w:eastAsia="仿宋_GB2312"/>
          <w:sz w:val="32"/>
          <w:szCs w:val="32"/>
        </w:rPr>
        <w:t>奋力书写现代化强区高品质海淀答卷！</w:t>
      </w: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p>
    <w:p>
      <w:pPr>
        <w:pBdr>
          <w:bottom w:val="single" w:color="FFFFFF" w:sz="4" w:space="17"/>
        </w:pBdr>
        <w:tabs>
          <w:tab w:val="left" w:pos="3038"/>
        </w:tabs>
        <w:adjustRightInd w:val="0"/>
        <w:snapToGrid w:val="0"/>
        <w:spacing w:line="560" w:lineRule="exact"/>
        <w:ind w:firstLine="420" w:firstLineChars="200"/>
        <w:rPr>
          <w:rFonts w:hint="eastAsia" w:ascii="仿宋_GB2312" w:hAnsi="FZSSK--GBK1-0" w:eastAsia="仿宋_GB2312"/>
          <w:sz w:val="32"/>
          <w:szCs w:val="32"/>
        </w:rPr>
      </w:pPr>
      <w:r>
        <w:rPr>
          <w:highlight w:val="yellow"/>
        </w:rPr>
        <w:drawing>
          <wp:anchor distT="0" distB="0" distL="114300" distR="114300" simplePos="0" relativeHeight="251660288" behindDoc="0" locked="0" layoutInCell="1" allowOverlap="1">
            <wp:simplePos x="0" y="0"/>
            <wp:positionH relativeFrom="column">
              <wp:posOffset>1563370</wp:posOffset>
            </wp:positionH>
            <wp:positionV relativeFrom="paragraph">
              <wp:posOffset>156845</wp:posOffset>
            </wp:positionV>
            <wp:extent cx="2419350" cy="24193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19350" cy="2419350"/>
                    </a:xfrm>
                    <a:prstGeom prst="rect">
                      <a:avLst/>
                    </a:prstGeom>
                    <a:noFill/>
                    <a:ln>
                      <a:noFill/>
                    </a:ln>
                  </pic:spPr>
                </pic:pic>
              </a:graphicData>
            </a:graphic>
          </wp:anchor>
        </w:drawing>
      </w:r>
    </w:p>
    <w:p>
      <w:pPr>
        <w:pBdr>
          <w:bottom w:val="single" w:color="FFFFFF" w:sz="4" w:space="17"/>
        </w:pBdr>
        <w:tabs>
          <w:tab w:val="left" w:pos="3038"/>
        </w:tabs>
        <w:adjustRightInd w:val="0"/>
        <w:snapToGrid w:val="0"/>
        <w:spacing w:line="560" w:lineRule="exact"/>
        <w:ind w:firstLine="640" w:firstLineChars="200"/>
        <w:rPr>
          <w:rFonts w:hint="eastAsia" w:ascii="仿宋_GB2312" w:hAnsi="FZSSK--GBK1-0" w:eastAsia="仿宋_GB2312"/>
          <w:sz w:val="32"/>
          <w:szCs w:val="32"/>
        </w:rPr>
      </w:pPr>
    </w:p>
    <w:p>
      <w:pPr>
        <w:tabs>
          <w:tab w:val="left" w:pos="3038"/>
        </w:tabs>
        <w:spacing w:line="560" w:lineRule="exact"/>
        <w:ind w:firstLine="656" w:firstLineChars="200"/>
        <w:rPr>
          <w:rFonts w:ascii="仿宋_GB2312" w:eastAsia="仿宋_GB2312" w:cs="仿宋_GB2312"/>
          <w:spacing w:val="4"/>
          <w:sz w:val="32"/>
          <w:szCs w:val="32"/>
          <w:highlight w:val="yellow"/>
        </w:rPr>
      </w:pPr>
    </w:p>
    <w:p>
      <w:pPr>
        <w:tabs>
          <w:tab w:val="left" w:pos="3038"/>
        </w:tabs>
        <w:spacing w:line="560" w:lineRule="exact"/>
        <w:ind w:firstLine="656" w:firstLineChars="200"/>
        <w:rPr>
          <w:rFonts w:ascii="仿宋_GB2312" w:eastAsia="仿宋_GB2312" w:cs="仿宋_GB2312"/>
          <w:spacing w:val="4"/>
          <w:sz w:val="32"/>
          <w:szCs w:val="32"/>
          <w:highlight w:val="yellow"/>
        </w:rPr>
      </w:pPr>
    </w:p>
    <w:p>
      <w:pPr>
        <w:tabs>
          <w:tab w:val="left" w:pos="3038"/>
        </w:tabs>
        <w:spacing w:line="560" w:lineRule="exact"/>
        <w:rPr>
          <w:b/>
          <w:sz w:val="36"/>
          <w:szCs w:val="36"/>
        </w:rPr>
      </w:pPr>
    </w:p>
    <w:p>
      <w:pPr>
        <w:tabs>
          <w:tab w:val="left" w:pos="3038"/>
        </w:tabs>
        <w:spacing w:line="560" w:lineRule="exact"/>
        <w:ind w:firstLine="2429" w:firstLineChars="550"/>
        <w:jc w:val="left"/>
        <w:rPr>
          <w:rFonts w:ascii="仿宋_GB2312" w:hAnsi="仿宋" w:eastAsia="仿宋_GB2312"/>
          <w:snapToGrid w:val="0"/>
          <w:kern w:val="0"/>
          <w:sz w:val="44"/>
          <w:szCs w:val="44"/>
        </w:rPr>
      </w:pPr>
      <w:r>
        <w:rPr>
          <w:rFonts w:hint="eastAsia"/>
          <w:b/>
          <w:sz w:val="44"/>
          <w:szCs w:val="44"/>
        </w:rPr>
        <w:t>厚德笃行 精筹唯公</w:t>
      </w:r>
    </w:p>
    <w:sectPr>
      <w:footerReference r:id="rId4" w:type="default"/>
      <w:footerReference r:id="rId5" w:type="even"/>
      <w:pgSz w:w="11906" w:h="16838"/>
      <w:pgMar w:top="2098" w:right="1531" w:bottom="1984" w:left="1531" w:header="851" w:footer="158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iti SC Light">
    <w:altName w:val="Times New Roman"/>
    <w:panose1 w:val="00000000000000000000"/>
    <w:charset w:val="00"/>
    <w:family w:val="roman"/>
    <w:pitch w:val="default"/>
    <w:sig w:usb0="00000000" w:usb1="00000000" w:usb2="00000000" w:usb3="00000000" w:csb0="00040001" w:csb1="00000000"/>
  </w:font>
  <w:font w:name="FZSSK--GBK1-0">
    <w:altName w:val="Segoe Print"/>
    <w:panose1 w:val="00000000000000000000"/>
    <w:charset w:val="7A"/>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pPr>
        <w:pStyle w:val="8"/>
        <w:rPr>
          <w:rFonts w:cs="宋体"/>
        </w:rPr>
      </w:pPr>
      <w:r>
        <w:rPr>
          <w:rStyle w:val="14"/>
        </w:rPr>
        <w:footnoteRef/>
      </w:r>
      <w:r>
        <w:rPr>
          <w:rFonts w:hint="eastAsia" w:cs="宋体"/>
        </w:rPr>
        <w:t xml:space="preserve"> 其中：专项转移支付收入</w:t>
      </w:r>
      <w:r>
        <w:rPr>
          <w:rFonts w:hint="eastAsia"/>
        </w:rPr>
        <w:t>74.1</w:t>
      </w:r>
      <w:r>
        <w:rPr>
          <w:rFonts w:hint="eastAsia" w:cs="宋体"/>
        </w:rPr>
        <w:t>亿元，一般性转移支付收入72.9亿元。</w:t>
      </w:r>
    </w:p>
  </w:footnote>
  <w:footnote w:id="1">
    <w:p>
      <w:pPr>
        <w:pStyle w:val="8"/>
      </w:pPr>
      <w:r>
        <w:rPr>
          <w:rStyle w:val="14"/>
        </w:rPr>
        <w:footnoteRef/>
      </w:r>
      <w:r>
        <w:rPr>
          <w:rFonts w:hint="eastAsia"/>
        </w:rPr>
        <w:t xml:space="preserve"> 包括：根据《海淀区国有资本收益上缴公共财政实施方案》（海财企〔2016〕257号）的要求，按30%的比例将当年国有资本经营预算收入1.5亿元调入一般公共预算；根据《关于海淀区机关事业单位在职职工生育津贴发放工作的通知》（海人社发〔2016〕6号）要求，海淀区机关事业单位将本年收到的在职职工生育津贴1278万元上缴财政，由区财政统一作为一般公共预算的“调入资金”统筹使用。</w:t>
      </w:r>
    </w:p>
  </w:footnote>
  <w:footnote w:id="2">
    <w:p>
      <w:pPr>
        <w:pStyle w:val="8"/>
      </w:pPr>
      <w:r>
        <w:rPr>
          <w:rStyle w:val="14"/>
        </w:rPr>
        <w:footnoteRef/>
      </w:r>
      <w:r>
        <w:rPr>
          <w:rFonts w:hint="eastAsia"/>
        </w:rPr>
        <w:t xml:space="preserve"> 因舍位平衡，与实际数据存在0.1亿元误差，详细数据参见报表。</w:t>
      </w:r>
    </w:p>
  </w:footnote>
  <w:footnote w:id="3">
    <w:p>
      <w:pPr>
        <w:pStyle w:val="8"/>
      </w:pPr>
      <w:r>
        <w:rPr>
          <w:rStyle w:val="14"/>
        </w:rPr>
        <w:footnoteRef/>
      </w:r>
      <w:r>
        <w:rPr>
          <w:rFonts w:hint="eastAsia"/>
        </w:rPr>
        <w:t xml:space="preserve"> 符合北京市不超过8%且低于上年（1.8%）的要求。</w:t>
      </w:r>
    </w:p>
  </w:footnote>
  <w:footnote w:id="4">
    <w:p>
      <w:pPr>
        <w:pStyle w:val="8"/>
      </w:pPr>
      <w:r>
        <w:rPr>
          <w:rStyle w:val="14"/>
        </w:rPr>
        <w:footnoteRef/>
      </w:r>
      <w:r>
        <w:rPr>
          <w:rFonts w:hint="eastAsia"/>
        </w:rPr>
        <w:t xml:space="preserve"> 我区国有土地使用权出让收入由市财政通过调库方式下达我区，主要包括玲珑巷、树村、京昌路楔形绿地、永丰J和F等地块土地开发补偿费。2021年我区加快土地供应节奏，土地上市规模较年初大幅增加。</w:t>
      </w:r>
    </w:p>
  </w:footnote>
  <w:footnote w:id="5">
    <w:p>
      <w:pPr>
        <w:pStyle w:val="8"/>
      </w:pPr>
      <w:r>
        <w:rPr>
          <w:rStyle w:val="14"/>
        </w:rPr>
        <w:footnoteRef/>
      </w:r>
      <w:r>
        <w:rPr>
          <w:rFonts w:hint="eastAsia"/>
        </w:rPr>
        <w:t xml:space="preserve"> 因舍位平衡，与实际数据存在0.1亿元误差，详细数据参见报表。</w:t>
      </w:r>
    </w:p>
  </w:footnote>
  <w:footnote w:id="6">
    <w:p>
      <w:pPr>
        <w:pStyle w:val="8"/>
      </w:pPr>
      <w:r>
        <w:rPr>
          <w:rStyle w:val="14"/>
        </w:rPr>
        <w:footnoteRef/>
      </w:r>
      <w:r>
        <w:rPr>
          <w:rFonts w:hint="eastAsia"/>
        </w:rPr>
        <w:t xml:space="preserve"> 再融资债券是为偿还部分到期地方政府债券本金而发行募集的债券。</w:t>
      </w:r>
    </w:p>
  </w:footnote>
  <w:footnote w:id="7">
    <w:p>
      <w:pPr>
        <w:pStyle w:val="8"/>
      </w:pPr>
      <w:r>
        <w:rPr>
          <w:rStyle w:val="14"/>
        </w:rPr>
        <w:footnoteRef/>
      </w:r>
      <w:r>
        <w:t xml:space="preserve"> </w:t>
      </w:r>
      <w:r>
        <w:rPr>
          <w:rFonts w:hint="eastAsia"/>
        </w:rPr>
        <w:t>其中：一般性转移拨付收入68.3亿元，专项转移拨付收入64.3亿元。</w:t>
      </w:r>
    </w:p>
  </w:footnote>
  <w:footnote w:id="8">
    <w:p>
      <w:pPr>
        <w:pStyle w:val="8"/>
      </w:pPr>
      <w:r>
        <w:rPr>
          <w:rStyle w:val="14"/>
        </w:rPr>
        <w:footnoteRef/>
      </w:r>
      <w:r>
        <w:rPr>
          <w:rFonts w:hint="eastAsia"/>
        </w:rPr>
        <w:t xml:space="preserve"> 按此预算安排，区级预算稳定调节基金结存12.0亿元。</w:t>
      </w:r>
    </w:p>
  </w:footnote>
  <w:footnote w:id="9">
    <w:p>
      <w:pPr>
        <w:pStyle w:val="8"/>
      </w:pPr>
      <w:r>
        <w:rPr>
          <w:rStyle w:val="14"/>
        </w:rPr>
        <w:footnoteRef/>
      </w:r>
      <w:r>
        <w:t xml:space="preserve"> </w:t>
      </w:r>
      <w:r>
        <w:rPr>
          <w:rFonts w:hint="eastAsia"/>
        </w:rPr>
        <w:t>其中：因公出国（境）费同比下降0.6%；公务接待费同比下降0.8%；公车运行维护费5700万元，同比下降0.9%；公车购置费2003万元，与上年持平。</w:t>
      </w:r>
    </w:p>
  </w:footnote>
  <w:footnote w:id="10">
    <w:p>
      <w:pPr>
        <w:pStyle w:val="8"/>
      </w:pPr>
      <w:r>
        <w:rPr>
          <w:rStyle w:val="14"/>
        </w:rPr>
        <w:footnoteRef/>
      </w:r>
      <w:r>
        <w:t xml:space="preserve"> </w:t>
      </w:r>
      <w:r>
        <w:rPr>
          <w:rFonts w:hint="eastAsia"/>
        </w:rPr>
        <w:t>受全市土地管理整体调控的影响，2022年土地上市规模和支出规模不确定性因素较多。</w:t>
      </w:r>
    </w:p>
  </w:footnote>
  <w:footnote w:id="11">
    <w:p>
      <w:pPr>
        <w:pStyle w:val="8"/>
      </w:pPr>
      <w:r>
        <w:rPr>
          <w:rStyle w:val="14"/>
        </w:rPr>
        <w:footnoteRef/>
      </w:r>
      <w:r>
        <w:rPr>
          <w:rFonts w:hint="eastAsia"/>
        </w:rPr>
        <w:t xml:space="preserve"> 国有资本经营预算的收入预算主要为企业预计上缴的上年利润收入。受国有企业股权转让等一次性因素影响，上年收入完成情况较好，导致同期基数较高。</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hideGrammaticalError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70"/>
    <w:rsid w:val="000003F0"/>
    <w:rsid w:val="0000049A"/>
    <w:rsid w:val="000009AD"/>
    <w:rsid w:val="00000A5E"/>
    <w:rsid w:val="00000B69"/>
    <w:rsid w:val="000015BB"/>
    <w:rsid w:val="00001823"/>
    <w:rsid w:val="000024F0"/>
    <w:rsid w:val="000025FB"/>
    <w:rsid w:val="00003735"/>
    <w:rsid w:val="00003787"/>
    <w:rsid w:val="0000395A"/>
    <w:rsid w:val="00003F34"/>
    <w:rsid w:val="00005061"/>
    <w:rsid w:val="0000525F"/>
    <w:rsid w:val="00005288"/>
    <w:rsid w:val="000063A2"/>
    <w:rsid w:val="00006534"/>
    <w:rsid w:val="00006B75"/>
    <w:rsid w:val="00006C60"/>
    <w:rsid w:val="000073DA"/>
    <w:rsid w:val="00007888"/>
    <w:rsid w:val="000079A7"/>
    <w:rsid w:val="00007FED"/>
    <w:rsid w:val="000109EE"/>
    <w:rsid w:val="00010AD5"/>
    <w:rsid w:val="00010DC4"/>
    <w:rsid w:val="00011066"/>
    <w:rsid w:val="00011512"/>
    <w:rsid w:val="000119F6"/>
    <w:rsid w:val="00011BD4"/>
    <w:rsid w:val="00011BF9"/>
    <w:rsid w:val="00011D2D"/>
    <w:rsid w:val="00011F25"/>
    <w:rsid w:val="00011FF2"/>
    <w:rsid w:val="000122E2"/>
    <w:rsid w:val="00012791"/>
    <w:rsid w:val="00012AD3"/>
    <w:rsid w:val="00012D09"/>
    <w:rsid w:val="00012EB1"/>
    <w:rsid w:val="0001334E"/>
    <w:rsid w:val="000133BA"/>
    <w:rsid w:val="000138A5"/>
    <w:rsid w:val="00013B32"/>
    <w:rsid w:val="00013C4B"/>
    <w:rsid w:val="00014748"/>
    <w:rsid w:val="00014813"/>
    <w:rsid w:val="000148AB"/>
    <w:rsid w:val="00014B9E"/>
    <w:rsid w:val="00014D23"/>
    <w:rsid w:val="00015653"/>
    <w:rsid w:val="00015782"/>
    <w:rsid w:val="00015BE4"/>
    <w:rsid w:val="00016129"/>
    <w:rsid w:val="00016607"/>
    <w:rsid w:val="00016984"/>
    <w:rsid w:val="00016D57"/>
    <w:rsid w:val="00017256"/>
    <w:rsid w:val="000175E3"/>
    <w:rsid w:val="00017C92"/>
    <w:rsid w:val="00017CA3"/>
    <w:rsid w:val="000200CF"/>
    <w:rsid w:val="000201F1"/>
    <w:rsid w:val="00020625"/>
    <w:rsid w:val="0002075E"/>
    <w:rsid w:val="0002092E"/>
    <w:rsid w:val="00020946"/>
    <w:rsid w:val="000214F6"/>
    <w:rsid w:val="00021761"/>
    <w:rsid w:val="00021900"/>
    <w:rsid w:val="00021F73"/>
    <w:rsid w:val="000222FD"/>
    <w:rsid w:val="000223A0"/>
    <w:rsid w:val="000224A5"/>
    <w:rsid w:val="00022615"/>
    <w:rsid w:val="00022C1E"/>
    <w:rsid w:val="00022EB9"/>
    <w:rsid w:val="00023800"/>
    <w:rsid w:val="000238E5"/>
    <w:rsid w:val="0002468C"/>
    <w:rsid w:val="00024AFA"/>
    <w:rsid w:val="00024B95"/>
    <w:rsid w:val="0002580C"/>
    <w:rsid w:val="00026881"/>
    <w:rsid w:val="00026E30"/>
    <w:rsid w:val="000272C3"/>
    <w:rsid w:val="000273F9"/>
    <w:rsid w:val="00027AC2"/>
    <w:rsid w:val="00027D9F"/>
    <w:rsid w:val="00027E1E"/>
    <w:rsid w:val="000304A1"/>
    <w:rsid w:val="000304AA"/>
    <w:rsid w:val="00031005"/>
    <w:rsid w:val="00031508"/>
    <w:rsid w:val="00032133"/>
    <w:rsid w:val="00032861"/>
    <w:rsid w:val="000328F4"/>
    <w:rsid w:val="00032C43"/>
    <w:rsid w:val="00033487"/>
    <w:rsid w:val="0003380E"/>
    <w:rsid w:val="00033E26"/>
    <w:rsid w:val="00033ED1"/>
    <w:rsid w:val="000345E3"/>
    <w:rsid w:val="00035497"/>
    <w:rsid w:val="00035FBE"/>
    <w:rsid w:val="000367CE"/>
    <w:rsid w:val="00036B9F"/>
    <w:rsid w:val="0003705B"/>
    <w:rsid w:val="000372F3"/>
    <w:rsid w:val="0003747B"/>
    <w:rsid w:val="00040036"/>
    <w:rsid w:val="000401F3"/>
    <w:rsid w:val="00040B5A"/>
    <w:rsid w:val="00040F54"/>
    <w:rsid w:val="00041013"/>
    <w:rsid w:val="000416F6"/>
    <w:rsid w:val="00041B3B"/>
    <w:rsid w:val="00042072"/>
    <w:rsid w:val="00042CAD"/>
    <w:rsid w:val="00042CEE"/>
    <w:rsid w:val="00042CF0"/>
    <w:rsid w:val="00042DF7"/>
    <w:rsid w:val="00042F59"/>
    <w:rsid w:val="00043A09"/>
    <w:rsid w:val="000447DC"/>
    <w:rsid w:val="0004491A"/>
    <w:rsid w:val="0004492E"/>
    <w:rsid w:val="00044C5C"/>
    <w:rsid w:val="000451D3"/>
    <w:rsid w:val="0004531B"/>
    <w:rsid w:val="00045B36"/>
    <w:rsid w:val="00045C2D"/>
    <w:rsid w:val="00045DD1"/>
    <w:rsid w:val="00045DDC"/>
    <w:rsid w:val="00046126"/>
    <w:rsid w:val="00046261"/>
    <w:rsid w:val="00046454"/>
    <w:rsid w:val="00046858"/>
    <w:rsid w:val="00046894"/>
    <w:rsid w:val="00046F45"/>
    <w:rsid w:val="00047172"/>
    <w:rsid w:val="00047642"/>
    <w:rsid w:val="000477FF"/>
    <w:rsid w:val="00047BD8"/>
    <w:rsid w:val="000501F0"/>
    <w:rsid w:val="00050317"/>
    <w:rsid w:val="0005047B"/>
    <w:rsid w:val="00050A3B"/>
    <w:rsid w:val="00050CDF"/>
    <w:rsid w:val="00051513"/>
    <w:rsid w:val="00051B1B"/>
    <w:rsid w:val="00052BAA"/>
    <w:rsid w:val="00053306"/>
    <w:rsid w:val="00053563"/>
    <w:rsid w:val="00053581"/>
    <w:rsid w:val="000535B8"/>
    <w:rsid w:val="0005389E"/>
    <w:rsid w:val="00053A55"/>
    <w:rsid w:val="00053F79"/>
    <w:rsid w:val="000540B3"/>
    <w:rsid w:val="0005431A"/>
    <w:rsid w:val="00054418"/>
    <w:rsid w:val="000549DE"/>
    <w:rsid w:val="000549FF"/>
    <w:rsid w:val="00054A23"/>
    <w:rsid w:val="0005523B"/>
    <w:rsid w:val="00055343"/>
    <w:rsid w:val="0005572A"/>
    <w:rsid w:val="00055824"/>
    <w:rsid w:val="00055BE2"/>
    <w:rsid w:val="000573B9"/>
    <w:rsid w:val="00057CBA"/>
    <w:rsid w:val="00060A15"/>
    <w:rsid w:val="00060C9F"/>
    <w:rsid w:val="000611FC"/>
    <w:rsid w:val="0006155B"/>
    <w:rsid w:val="00061EF6"/>
    <w:rsid w:val="00061F1C"/>
    <w:rsid w:val="000620DE"/>
    <w:rsid w:val="00062108"/>
    <w:rsid w:val="000621C6"/>
    <w:rsid w:val="00062239"/>
    <w:rsid w:val="0006251B"/>
    <w:rsid w:val="0006257B"/>
    <w:rsid w:val="000629FB"/>
    <w:rsid w:val="00062DF3"/>
    <w:rsid w:val="00062F37"/>
    <w:rsid w:val="0006353F"/>
    <w:rsid w:val="00063ED8"/>
    <w:rsid w:val="00064CF6"/>
    <w:rsid w:val="00065650"/>
    <w:rsid w:val="000664DC"/>
    <w:rsid w:val="0006671B"/>
    <w:rsid w:val="00066B7C"/>
    <w:rsid w:val="00066E18"/>
    <w:rsid w:val="0006714E"/>
    <w:rsid w:val="0006729F"/>
    <w:rsid w:val="000678C1"/>
    <w:rsid w:val="00067912"/>
    <w:rsid w:val="00067EC3"/>
    <w:rsid w:val="00070762"/>
    <w:rsid w:val="00070818"/>
    <w:rsid w:val="0007085A"/>
    <w:rsid w:val="0007087B"/>
    <w:rsid w:val="000718C2"/>
    <w:rsid w:val="0007293E"/>
    <w:rsid w:val="000733F2"/>
    <w:rsid w:val="0007415F"/>
    <w:rsid w:val="00074229"/>
    <w:rsid w:val="0007496B"/>
    <w:rsid w:val="00074BCC"/>
    <w:rsid w:val="000755CF"/>
    <w:rsid w:val="00075CBE"/>
    <w:rsid w:val="000766EC"/>
    <w:rsid w:val="00076D17"/>
    <w:rsid w:val="000774C8"/>
    <w:rsid w:val="00077D7A"/>
    <w:rsid w:val="00077F5A"/>
    <w:rsid w:val="0008044E"/>
    <w:rsid w:val="00080708"/>
    <w:rsid w:val="00080EB0"/>
    <w:rsid w:val="0008161C"/>
    <w:rsid w:val="00081D8C"/>
    <w:rsid w:val="00082247"/>
    <w:rsid w:val="00082276"/>
    <w:rsid w:val="000829FD"/>
    <w:rsid w:val="00082AD0"/>
    <w:rsid w:val="000831D1"/>
    <w:rsid w:val="0008353D"/>
    <w:rsid w:val="00083E0D"/>
    <w:rsid w:val="0008413A"/>
    <w:rsid w:val="00084275"/>
    <w:rsid w:val="000843F1"/>
    <w:rsid w:val="00084B01"/>
    <w:rsid w:val="00084B31"/>
    <w:rsid w:val="000850AD"/>
    <w:rsid w:val="00085299"/>
    <w:rsid w:val="00085330"/>
    <w:rsid w:val="0008548D"/>
    <w:rsid w:val="00085623"/>
    <w:rsid w:val="00085D25"/>
    <w:rsid w:val="000862E0"/>
    <w:rsid w:val="00086733"/>
    <w:rsid w:val="00086D83"/>
    <w:rsid w:val="00087126"/>
    <w:rsid w:val="00087432"/>
    <w:rsid w:val="00087985"/>
    <w:rsid w:val="00087BA1"/>
    <w:rsid w:val="00087BBA"/>
    <w:rsid w:val="00087EC6"/>
    <w:rsid w:val="00090316"/>
    <w:rsid w:val="00090A80"/>
    <w:rsid w:val="00090C05"/>
    <w:rsid w:val="000911A2"/>
    <w:rsid w:val="000919B0"/>
    <w:rsid w:val="00091CB5"/>
    <w:rsid w:val="00091DC1"/>
    <w:rsid w:val="00091E0A"/>
    <w:rsid w:val="000924DC"/>
    <w:rsid w:val="00092526"/>
    <w:rsid w:val="00092946"/>
    <w:rsid w:val="000931F3"/>
    <w:rsid w:val="0009320A"/>
    <w:rsid w:val="00093232"/>
    <w:rsid w:val="00093655"/>
    <w:rsid w:val="00094020"/>
    <w:rsid w:val="00094024"/>
    <w:rsid w:val="000947C0"/>
    <w:rsid w:val="0009526A"/>
    <w:rsid w:val="00095659"/>
    <w:rsid w:val="00095B30"/>
    <w:rsid w:val="00095E13"/>
    <w:rsid w:val="00096018"/>
    <w:rsid w:val="0009651D"/>
    <w:rsid w:val="0009683D"/>
    <w:rsid w:val="00096A57"/>
    <w:rsid w:val="000974B6"/>
    <w:rsid w:val="0009770C"/>
    <w:rsid w:val="000979BA"/>
    <w:rsid w:val="00097B30"/>
    <w:rsid w:val="00097CF2"/>
    <w:rsid w:val="00097E6D"/>
    <w:rsid w:val="000A0C51"/>
    <w:rsid w:val="000A0E63"/>
    <w:rsid w:val="000A0F06"/>
    <w:rsid w:val="000A10D7"/>
    <w:rsid w:val="000A16D1"/>
    <w:rsid w:val="000A22B1"/>
    <w:rsid w:val="000A2C45"/>
    <w:rsid w:val="000A2CF5"/>
    <w:rsid w:val="000A333B"/>
    <w:rsid w:val="000A3543"/>
    <w:rsid w:val="000A432C"/>
    <w:rsid w:val="000A4A07"/>
    <w:rsid w:val="000A4CF1"/>
    <w:rsid w:val="000A4EA6"/>
    <w:rsid w:val="000A5106"/>
    <w:rsid w:val="000A5411"/>
    <w:rsid w:val="000A5433"/>
    <w:rsid w:val="000A555F"/>
    <w:rsid w:val="000A5D27"/>
    <w:rsid w:val="000A661A"/>
    <w:rsid w:val="000A67F7"/>
    <w:rsid w:val="000A68E7"/>
    <w:rsid w:val="000A693D"/>
    <w:rsid w:val="000A6E01"/>
    <w:rsid w:val="000A70A0"/>
    <w:rsid w:val="000A7A68"/>
    <w:rsid w:val="000A7BA8"/>
    <w:rsid w:val="000B0843"/>
    <w:rsid w:val="000B097C"/>
    <w:rsid w:val="000B0CE0"/>
    <w:rsid w:val="000B13DB"/>
    <w:rsid w:val="000B1A77"/>
    <w:rsid w:val="000B1F57"/>
    <w:rsid w:val="000B262C"/>
    <w:rsid w:val="000B3265"/>
    <w:rsid w:val="000B3632"/>
    <w:rsid w:val="000B36DA"/>
    <w:rsid w:val="000B3A75"/>
    <w:rsid w:val="000B3F9A"/>
    <w:rsid w:val="000B4DCC"/>
    <w:rsid w:val="000B4FBF"/>
    <w:rsid w:val="000B50A5"/>
    <w:rsid w:val="000B5273"/>
    <w:rsid w:val="000B5A0F"/>
    <w:rsid w:val="000B6333"/>
    <w:rsid w:val="000B65AC"/>
    <w:rsid w:val="000B6BD1"/>
    <w:rsid w:val="000B6F8C"/>
    <w:rsid w:val="000B729C"/>
    <w:rsid w:val="000B7741"/>
    <w:rsid w:val="000B7D7A"/>
    <w:rsid w:val="000C08BF"/>
    <w:rsid w:val="000C0973"/>
    <w:rsid w:val="000C1403"/>
    <w:rsid w:val="000C1AA0"/>
    <w:rsid w:val="000C1E13"/>
    <w:rsid w:val="000C23F0"/>
    <w:rsid w:val="000C265C"/>
    <w:rsid w:val="000C2DED"/>
    <w:rsid w:val="000C32B1"/>
    <w:rsid w:val="000C340F"/>
    <w:rsid w:val="000C400D"/>
    <w:rsid w:val="000C42E2"/>
    <w:rsid w:val="000C48CC"/>
    <w:rsid w:val="000C4ED8"/>
    <w:rsid w:val="000C503D"/>
    <w:rsid w:val="000C5AD9"/>
    <w:rsid w:val="000C5D0A"/>
    <w:rsid w:val="000C6007"/>
    <w:rsid w:val="000C6F29"/>
    <w:rsid w:val="000C7721"/>
    <w:rsid w:val="000C7BDD"/>
    <w:rsid w:val="000C7BE5"/>
    <w:rsid w:val="000C7E66"/>
    <w:rsid w:val="000D0327"/>
    <w:rsid w:val="000D05C9"/>
    <w:rsid w:val="000D0E64"/>
    <w:rsid w:val="000D115B"/>
    <w:rsid w:val="000D1928"/>
    <w:rsid w:val="000D1D3C"/>
    <w:rsid w:val="000D2094"/>
    <w:rsid w:val="000D2CCE"/>
    <w:rsid w:val="000D2E88"/>
    <w:rsid w:val="000D3050"/>
    <w:rsid w:val="000D33DC"/>
    <w:rsid w:val="000D3440"/>
    <w:rsid w:val="000D365B"/>
    <w:rsid w:val="000D37D5"/>
    <w:rsid w:val="000D380E"/>
    <w:rsid w:val="000D39C7"/>
    <w:rsid w:val="000D3E41"/>
    <w:rsid w:val="000D525F"/>
    <w:rsid w:val="000D5382"/>
    <w:rsid w:val="000D5D03"/>
    <w:rsid w:val="000D642E"/>
    <w:rsid w:val="000D6440"/>
    <w:rsid w:val="000D6581"/>
    <w:rsid w:val="000D6B23"/>
    <w:rsid w:val="000D6BBA"/>
    <w:rsid w:val="000D6F35"/>
    <w:rsid w:val="000D7394"/>
    <w:rsid w:val="000D73D9"/>
    <w:rsid w:val="000E01F8"/>
    <w:rsid w:val="000E05F2"/>
    <w:rsid w:val="000E0879"/>
    <w:rsid w:val="000E0A8A"/>
    <w:rsid w:val="000E0F09"/>
    <w:rsid w:val="000E0F93"/>
    <w:rsid w:val="000E1095"/>
    <w:rsid w:val="000E1186"/>
    <w:rsid w:val="000E160E"/>
    <w:rsid w:val="000E1716"/>
    <w:rsid w:val="000E1A4C"/>
    <w:rsid w:val="000E1C23"/>
    <w:rsid w:val="000E1E84"/>
    <w:rsid w:val="000E1F18"/>
    <w:rsid w:val="000E2243"/>
    <w:rsid w:val="000E263C"/>
    <w:rsid w:val="000E2D10"/>
    <w:rsid w:val="000E2D7E"/>
    <w:rsid w:val="000E30BB"/>
    <w:rsid w:val="000E3393"/>
    <w:rsid w:val="000E33C3"/>
    <w:rsid w:val="000E3469"/>
    <w:rsid w:val="000E36EE"/>
    <w:rsid w:val="000E386F"/>
    <w:rsid w:val="000E42DE"/>
    <w:rsid w:val="000E4577"/>
    <w:rsid w:val="000E4723"/>
    <w:rsid w:val="000E4D88"/>
    <w:rsid w:val="000E50A7"/>
    <w:rsid w:val="000E56CF"/>
    <w:rsid w:val="000E58A7"/>
    <w:rsid w:val="000E5B01"/>
    <w:rsid w:val="000E5F0F"/>
    <w:rsid w:val="000E60D6"/>
    <w:rsid w:val="000E7013"/>
    <w:rsid w:val="000E77FB"/>
    <w:rsid w:val="000E7E5A"/>
    <w:rsid w:val="000F04F6"/>
    <w:rsid w:val="000F0577"/>
    <w:rsid w:val="000F0A27"/>
    <w:rsid w:val="000F10A9"/>
    <w:rsid w:val="000F1218"/>
    <w:rsid w:val="000F1476"/>
    <w:rsid w:val="000F1D80"/>
    <w:rsid w:val="000F1DD6"/>
    <w:rsid w:val="000F2806"/>
    <w:rsid w:val="000F3169"/>
    <w:rsid w:val="000F361B"/>
    <w:rsid w:val="000F37D8"/>
    <w:rsid w:val="000F39E0"/>
    <w:rsid w:val="000F4CE7"/>
    <w:rsid w:val="000F4E7A"/>
    <w:rsid w:val="000F59EA"/>
    <w:rsid w:val="000F5B36"/>
    <w:rsid w:val="000F6370"/>
    <w:rsid w:val="000F65A0"/>
    <w:rsid w:val="000F6856"/>
    <w:rsid w:val="000F773B"/>
    <w:rsid w:val="000F78B3"/>
    <w:rsid w:val="000F7E11"/>
    <w:rsid w:val="001002B8"/>
    <w:rsid w:val="001005EF"/>
    <w:rsid w:val="00100D12"/>
    <w:rsid w:val="00100DCA"/>
    <w:rsid w:val="00101227"/>
    <w:rsid w:val="001013A5"/>
    <w:rsid w:val="00101783"/>
    <w:rsid w:val="00101A0F"/>
    <w:rsid w:val="00101DDA"/>
    <w:rsid w:val="0010214B"/>
    <w:rsid w:val="0010227D"/>
    <w:rsid w:val="00102766"/>
    <w:rsid w:val="0010297F"/>
    <w:rsid w:val="00102AD2"/>
    <w:rsid w:val="0010327A"/>
    <w:rsid w:val="001034D1"/>
    <w:rsid w:val="00103A68"/>
    <w:rsid w:val="00103B39"/>
    <w:rsid w:val="00103CCC"/>
    <w:rsid w:val="00104240"/>
    <w:rsid w:val="00104617"/>
    <w:rsid w:val="00104994"/>
    <w:rsid w:val="00104BEC"/>
    <w:rsid w:val="00105B11"/>
    <w:rsid w:val="00105C79"/>
    <w:rsid w:val="00105DDB"/>
    <w:rsid w:val="00105F83"/>
    <w:rsid w:val="001066C4"/>
    <w:rsid w:val="00106756"/>
    <w:rsid w:val="00106C24"/>
    <w:rsid w:val="00106E5F"/>
    <w:rsid w:val="00107003"/>
    <w:rsid w:val="001079D3"/>
    <w:rsid w:val="00107BE4"/>
    <w:rsid w:val="00107E5E"/>
    <w:rsid w:val="00107F0A"/>
    <w:rsid w:val="0011078F"/>
    <w:rsid w:val="00110F3E"/>
    <w:rsid w:val="00111A85"/>
    <w:rsid w:val="001125DC"/>
    <w:rsid w:val="00112A78"/>
    <w:rsid w:val="00112BCD"/>
    <w:rsid w:val="0011351E"/>
    <w:rsid w:val="00114E62"/>
    <w:rsid w:val="00115172"/>
    <w:rsid w:val="001159F2"/>
    <w:rsid w:val="00115DCD"/>
    <w:rsid w:val="00115E06"/>
    <w:rsid w:val="001161AF"/>
    <w:rsid w:val="00116876"/>
    <w:rsid w:val="00116A53"/>
    <w:rsid w:val="0011722F"/>
    <w:rsid w:val="00117512"/>
    <w:rsid w:val="001176B7"/>
    <w:rsid w:val="00117B10"/>
    <w:rsid w:val="001201D2"/>
    <w:rsid w:val="00120579"/>
    <w:rsid w:val="00120D9A"/>
    <w:rsid w:val="0012138B"/>
    <w:rsid w:val="00122D5A"/>
    <w:rsid w:val="00123297"/>
    <w:rsid w:val="00123D85"/>
    <w:rsid w:val="00123F12"/>
    <w:rsid w:val="001240A1"/>
    <w:rsid w:val="0012436A"/>
    <w:rsid w:val="00124DA2"/>
    <w:rsid w:val="001254C1"/>
    <w:rsid w:val="001256A8"/>
    <w:rsid w:val="00125CC0"/>
    <w:rsid w:val="00126221"/>
    <w:rsid w:val="00126CD5"/>
    <w:rsid w:val="00126D8F"/>
    <w:rsid w:val="00126FFE"/>
    <w:rsid w:val="0012702D"/>
    <w:rsid w:val="00127FDA"/>
    <w:rsid w:val="00130851"/>
    <w:rsid w:val="001308CC"/>
    <w:rsid w:val="00130AE6"/>
    <w:rsid w:val="00130B2D"/>
    <w:rsid w:val="00130BCA"/>
    <w:rsid w:val="00130E2A"/>
    <w:rsid w:val="00130E9B"/>
    <w:rsid w:val="00130F52"/>
    <w:rsid w:val="0013122A"/>
    <w:rsid w:val="00131616"/>
    <w:rsid w:val="0013176F"/>
    <w:rsid w:val="001319D5"/>
    <w:rsid w:val="001319F1"/>
    <w:rsid w:val="00131C6C"/>
    <w:rsid w:val="0013221E"/>
    <w:rsid w:val="001322D5"/>
    <w:rsid w:val="00132699"/>
    <w:rsid w:val="00132BCC"/>
    <w:rsid w:val="00132E03"/>
    <w:rsid w:val="00133CC1"/>
    <w:rsid w:val="0013459C"/>
    <w:rsid w:val="00134E68"/>
    <w:rsid w:val="00134F3A"/>
    <w:rsid w:val="001350A5"/>
    <w:rsid w:val="0013535C"/>
    <w:rsid w:val="0013632E"/>
    <w:rsid w:val="00136753"/>
    <w:rsid w:val="00136C6E"/>
    <w:rsid w:val="00136E35"/>
    <w:rsid w:val="001371FC"/>
    <w:rsid w:val="001374C8"/>
    <w:rsid w:val="00137722"/>
    <w:rsid w:val="00137767"/>
    <w:rsid w:val="00137937"/>
    <w:rsid w:val="001401FA"/>
    <w:rsid w:val="00140A63"/>
    <w:rsid w:val="00141567"/>
    <w:rsid w:val="00141621"/>
    <w:rsid w:val="001418DF"/>
    <w:rsid w:val="00141AD7"/>
    <w:rsid w:val="00141BB4"/>
    <w:rsid w:val="001425BF"/>
    <w:rsid w:val="001426D0"/>
    <w:rsid w:val="00142773"/>
    <w:rsid w:val="0014336C"/>
    <w:rsid w:val="00143430"/>
    <w:rsid w:val="0014353B"/>
    <w:rsid w:val="00143626"/>
    <w:rsid w:val="0014371C"/>
    <w:rsid w:val="00143740"/>
    <w:rsid w:val="00144BD7"/>
    <w:rsid w:val="00144CBE"/>
    <w:rsid w:val="00145441"/>
    <w:rsid w:val="00145664"/>
    <w:rsid w:val="00145C3D"/>
    <w:rsid w:val="00145F21"/>
    <w:rsid w:val="00146552"/>
    <w:rsid w:val="001469AE"/>
    <w:rsid w:val="00146A88"/>
    <w:rsid w:val="00146D82"/>
    <w:rsid w:val="00147014"/>
    <w:rsid w:val="001472A9"/>
    <w:rsid w:val="001476A1"/>
    <w:rsid w:val="001479D2"/>
    <w:rsid w:val="00150247"/>
    <w:rsid w:val="00150B6A"/>
    <w:rsid w:val="00150B7F"/>
    <w:rsid w:val="00150CBE"/>
    <w:rsid w:val="00151CFA"/>
    <w:rsid w:val="00151DA3"/>
    <w:rsid w:val="001527ED"/>
    <w:rsid w:val="00152B8D"/>
    <w:rsid w:val="00152BFE"/>
    <w:rsid w:val="00152F6C"/>
    <w:rsid w:val="001530F4"/>
    <w:rsid w:val="00153C3F"/>
    <w:rsid w:val="00153D03"/>
    <w:rsid w:val="001547D0"/>
    <w:rsid w:val="00154C7F"/>
    <w:rsid w:val="00155409"/>
    <w:rsid w:val="001554D1"/>
    <w:rsid w:val="001555F3"/>
    <w:rsid w:val="001562D1"/>
    <w:rsid w:val="00156496"/>
    <w:rsid w:val="00156990"/>
    <w:rsid w:val="00156C19"/>
    <w:rsid w:val="0015712D"/>
    <w:rsid w:val="00157194"/>
    <w:rsid w:val="00157441"/>
    <w:rsid w:val="00157507"/>
    <w:rsid w:val="00157813"/>
    <w:rsid w:val="001579B1"/>
    <w:rsid w:val="00157C3D"/>
    <w:rsid w:val="001603DE"/>
    <w:rsid w:val="00160AFB"/>
    <w:rsid w:val="00160B0F"/>
    <w:rsid w:val="001611C5"/>
    <w:rsid w:val="00161422"/>
    <w:rsid w:val="00161B78"/>
    <w:rsid w:val="00161DD3"/>
    <w:rsid w:val="00161E4E"/>
    <w:rsid w:val="001622BA"/>
    <w:rsid w:val="00162CD8"/>
    <w:rsid w:val="00162D07"/>
    <w:rsid w:val="00162F04"/>
    <w:rsid w:val="0016345F"/>
    <w:rsid w:val="001635B4"/>
    <w:rsid w:val="00163C09"/>
    <w:rsid w:val="001641BD"/>
    <w:rsid w:val="00164373"/>
    <w:rsid w:val="001647CC"/>
    <w:rsid w:val="00164ADC"/>
    <w:rsid w:val="00164DB5"/>
    <w:rsid w:val="00165283"/>
    <w:rsid w:val="001654C8"/>
    <w:rsid w:val="001656C6"/>
    <w:rsid w:val="00165E42"/>
    <w:rsid w:val="00166105"/>
    <w:rsid w:val="00166124"/>
    <w:rsid w:val="00166725"/>
    <w:rsid w:val="0016694A"/>
    <w:rsid w:val="001669A4"/>
    <w:rsid w:val="00166D47"/>
    <w:rsid w:val="00166F9E"/>
    <w:rsid w:val="0016713D"/>
    <w:rsid w:val="0016723F"/>
    <w:rsid w:val="00167303"/>
    <w:rsid w:val="00167633"/>
    <w:rsid w:val="00167823"/>
    <w:rsid w:val="001678E1"/>
    <w:rsid w:val="00167948"/>
    <w:rsid w:val="00167A9B"/>
    <w:rsid w:val="00167B26"/>
    <w:rsid w:val="0017001C"/>
    <w:rsid w:val="00170327"/>
    <w:rsid w:val="001706D3"/>
    <w:rsid w:val="00170950"/>
    <w:rsid w:val="00170999"/>
    <w:rsid w:val="00170BDA"/>
    <w:rsid w:val="00170DA8"/>
    <w:rsid w:val="00170FE6"/>
    <w:rsid w:val="0017105E"/>
    <w:rsid w:val="00171B95"/>
    <w:rsid w:val="00171F19"/>
    <w:rsid w:val="00171F88"/>
    <w:rsid w:val="001728B5"/>
    <w:rsid w:val="00172B40"/>
    <w:rsid w:val="00172CDB"/>
    <w:rsid w:val="001731EB"/>
    <w:rsid w:val="001732B4"/>
    <w:rsid w:val="001735FD"/>
    <w:rsid w:val="0017463A"/>
    <w:rsid w:val="00174653"/>
    <w:rsid w:val="0017475E"/>
    <w:rsid w:val="00174ABE"/>
    <w:rsid w:val="001754AC"/>
    <w:rsid w:val="00175637"/>
    <w:rsid w:val="00175B40"/>
    <w:rsid w:val="00175D3B"/>
    <w:rsid w:val="00176014"/>
    <w:rsid w:val="001762D8"/>
    <w:rsid w:val="0017642D"/>
    <w:rsid w:val="001766E6"/>
    <w:rsid w:val="00176C07"/>
    <w:rsid w:val="00176D21"/>
    <w:rsid w:val="00176FA1"/>
    <w:rsid w:val="0017735A"/>
    <w:rsid w:val="0017791D"/>
    <w:rsid w:val="00177BB4"/>
    <w:rsid w:val="00177C9B"/>
    <w:rsid w:val="00177F2A"/>
    <w:rsid w:val="00180126"/>
    <w:rsid w:val="00180A97"/>
    <w:rsid w:val="001821DF"/>
    <w:rsid w:val="001822F2"/>
    <w:rsid w:val="00183317"/>
    <w:rsid w:val="00183573"/>
    <w:rsid w:val="001836C0"/>
    <w:rsid w:val="00183990"/>
    <w:rsid w:val="00183E21"/>
    <w:rsid w:val="0018428D"/>
    <w:rsid w:val="00184464"/>
    <w:rsid w:val="001849A5"/>
    <w:rsid w:val="001849FA"/>
    <w:rsid w:val="0018550F"/>
    <w:rsid w:val="001858EE"/>
    <w:rsid w:val="00185BEA"/>
    <w:rsid w:val="001861C6"/>
    <w:rsid w:val="00186902"/>
    <w:rsid w:val="0018696B"/>
    <w:rsid w:val="001875D3"/>
    <w:rsid w:val="0018762A"/>
    <w:rsid w:val="00187663"/>
    <w:rsid w:val="001901CF"/>
    <w:rsid w:val="00190B0C"/>
    <w:rsid w:val="00190BFD"/>
    <w:rsid w:val="00190C97"/>
    <w:rsid w:val="001915AD"/>
    <w:rsid w:val="00191FFB"/>
    <w:rsid w:val="00192453"/>
    <w:rsid w:val="001936B0"/>
    <w:rsid w:val="00193C64"/>
    <w:rsid w:val="001940A7"/>
    <w:rsid w:val="0019442B"/>
    <w:rsid w:val="00194949"/>
    <w:rsid w:val="00194B32"/>
    <w:rsid w:val="00194E04"/>
    <w:rsid w:val="00194ED8"/>
    <w:rsid w:val="00195D02"/>
    <w:rsid w:val="00195EB4"/>
    <w:rsid w:val="0019613D"/>
    <w:rsid w:val="00196BC9"/>
    <w:rsid w:val="00196D33"/>
    <w:rsid w:val="0019742E"/>
    <w:rsid w:val="00197657"/>
    <w:rsid w:val="00197B18"/>
    <w:rsid w:val="00197BE9"/>
    <w:rsid w:val="00197D06"/>
    <w:rsid w:val="001A00B2"/>
    <w:rsid w:val="001A021F"/>
    <w:rsid w:val="001A10A6"/>
    <w:rsid w:val="001A1165"/>
    <w:rsid w:val="001A1694"/>
    <w:rsid w:val="001A16E5"/>
    <w:rsid w:val="001A17B4"/>
    <w:rsid w:val="001A245D"/>
    <w:rsid w:val="001A2682"/>
    <w:rsid w:val="001A2A5C"/>
    <w:rsid w:val="001A30E0"/>
    <w:rsid w:val="001A324B"/>
    <w:rsid w:val="001A344C"/>
    <w:rsid w:val="001A3C8C"/>
    <w:rsid w:val="001A3EFA"/>
    <w:rsid w:val="001A4414"/>
    <w:rsid w:val="001A46F1"/>
    <w:rsid w:val="001A4D1F"/>
    <w:rsid w:val="001A4F20"/>
    <w:rsid w:val="001A5112"/>
    <w:rsid w:val="001A54AE"/>
    <w:rsid w:val="001A559E"/>
    <w:rsid w:val="001A562A"/>
    <w:rsid w:val="001A5BE2"/>
    <w:rsid w:val="001A5EE9"/>
    <w:rsid w:val="001A6797"/>
    <w:rsid w:val="001A6C29"/>
    <w:rsid w:val="001A74BD"/>
    <w:rsid w:val="001A77EC"/>
    <w:rsid w:val="001A7F4A"/>
    <w:rsid w:val="001B07CD"/>
    <w:rsid w:val="001B0AEB"/>
    <w:rsid w:val="001B0E2B"/>
    <w:rsid w:val="001B10C7"/>
    <w:rsid w:val="001B1560"/>
    <w:rsid w:val="001B167C"/>
    <w:rsid w:val="001B1CF4"/>
    <w:rsid w:val="001B1E85"/>
    <w:rsid w:val="001B1FCB"/>
    <w:rsid w:val="001B249B"/>
    <w:rsid w:val="001B249D"/>
    <w:rsid w:val="001B2E26"/>
    <w:rsid w:val="001B2E6A"/>
    <w:rsid w:val="001B3EE7"/>
    <w:rsid w:val="001B42A8"/>
    <w:rsid w:val="001B46A4"/>
    <w:rsid w:val="001B487F"/>
    <w:rsid w:val="001B538B"/>
    <w:rsid w:val="001B5442"/>
    <w:rsid w:val="001B5675"/>
    <w:rsid w:val="001B5A28"/>
    <w:rsid w:val="001B5F0E"/>
    <w:rsid w:val="001B5F77"/>
    <w:rsid w:val="001B5FFC"/>
    <w:rsid w:val="001B6560"/>
    <w:rsid w:val="001B7B2F"/>
    <w:rsid w:val="001B7D3C"/>
    <w:rsid w:val="001C051D"/>
    <w:rsid w:val="001C0602"/>
    <w:rsid w:val="001C0935"/>
    <w:rsid w:val="001C0942"/>
    <w:rsid w:val="001C1042"/>
    <w:rsid w:val="001C1C78"/>
    <w:rsid w:val="001C204F"/>
    <w:rsid w:val="001C2920"/>
    <w:rsid w:val="001C2D94"/>
    <w:rsid w:val="001C392B"/>
    <w:rsid w:val="001C3942"/>
    <w:rsid w:val="001C397A"/>
    <w:rsid w:val="001C432F"/>
    <w:rsid w:val="001C47B6"/>
    <w:rsid w:val="001C4967"/>
    <w:rsid w:val="001C4B1D"/>
    <w:rsid w:val="001C4DE3"/>
    <w:rsid w:val="001C50CC"/>
    <w:rsid w:val="001C516A"/>
    <w:rsid w:val="001C538B"/>
    <w:rsid w:val="001C5499"/>
    <w:rsid w:val="001C5BB6"/>
    <w:rsid w:val="001C5BB9"/>
    <w:rsid w:val="001C608D"/>
    <w:rsid w:val="001C641B"/>
    <w:rsid w:val="001C69BD"/>
    <w:rsid w:val="001C6FDE"/>
    <w:rsid w:val="001C7AE5"/>
    <w:rsid w:val="001D0213"/>
    <w:rsid w:val="001D0703"/>
    <w:rsid w:val="001D0AEC"/>
    <w:rsid w:val="001D0ED9"/>
    <w:rsid w:val="001D113A"/>
    <w:rsid w:val="001D1218"/>
    <w:rsid w:val="001D144D"/>
    <w:rsid w:val="001D19AE"/>
    <w:rsid w:val="001D2350"/>
    <w:rsid w:val="001D25BA"/>
    <w:rsid w:val="001D2B3D"/>
    <w:rsid w:val="001D2B9B"/>
    <w:rsid w:val="001D2F4E"/>
    <w:rsid w:val="001D3008"/>
    <w:rsid w:val="001D36F2"/>
    <w:rsid w:val="001D3C0A"/>
    <w:rsid w:val="001D3E7B"/>
    <w:rsid w:val="001D42BC"/>
    <w:rsid w:val="001D466E"/>
    <w:rsid w:val="001D475B"/>
    <w:rsid w:val="001D4948"/>
    <w:rsid w:val="001D49BC"/>
    <w:rsid w:val="001D4AF5"/>
    <w:rsid w:val="001D4BEE"/>
    <w:rsid w:val="001D502B"/>
    <w:rsid w:val="001D508D"/>
    <w:rsid w:val="001D5272"/>
    <w:rsid w:val="001D5316"/>
    <w:rsid w:val="001D54AC"/>
    <w:rsid w:val="001D5C8C"/>
    <w:rsid w:val="001D5FC5"/>
    <w:rsid w:val="001D6313"/>
    <w:rsid w:val="001D64E0"/>
    <w:rsid w:val="001D6629"/>
    <w:rsid w:val="001D6697"/>
    <w:rsid w:val="001D6B14"/>
    <w:rsid w:val="001D6B4F"/>
    <w:rsid w:val="001D7108"/>
    <w:rsid w:val="001D7942"/>
    <w:rsid w:val="001D7D05"/>
    <w:rsid w:val="001D7E18"/>
    <w:rsid w:val="001D7EBC"/>
    <w:rsid w:val="001E0810"/>
    <w:rsid w:val="001E0AE6"/>
    <w:rsid w:val="001E0B13"/>
    <w:rsid w:val="001E0CA7"/>
    <w:rsid w:val="001E14BE"/>
    <w:rsid w:val="001E15E6"/>
    <w:rsid w:val="001E1BB6"/>
    <w:rsid w:val="001E1FD1"/>
    <w:rsid w:val="001E2B1E"/>
    <w:rsid w:val="001E2BB5"/>
    <w:rsid w:val="001E2E0A"/>
    <w:rsid w:val="001E2F9F"/>
    <w:rsid w:val="001E346F"/>
    <w:rsid w:val="001E3825"/>
    <w:rsid w:val="001E414D"/>
    <w:rsid w:val="001E4A82"/>
    <w:rsid w:val="001E50CA"/>
    <w:rsid w:val="001E569F"/>
    <w:rsid w:val="001E5836"/>
    <w:rsid w:val="001E59DA"/>
    <w:rsid w:val="001E5B13"/>
    <w:rsid w:val="001E5DC3"/>
    <w:rsid w:val="001E6127"/>
    <w:rsid w:val="001E6CE1"/>
    <w:rsid w:val="001E6CF7"/>
    <w:rsid w:val="001E6DCA"/>
    <w:rsid w:val="001E73BF"/>
    <w:rsid w:val="001E74DC"/>
    <w:rsid w:val="001E7E76"/>
    <w:rsid w:val="001F0102"/>
    <w:rsid w:val="001F01F3"/>
    <w:rsid w:val="001F0515"/>
    <w:rsid w:val="001F0554"/>
    <w:rsid w:val="001F0B72"/>
    <w:rsid w:val="001F11F4"/>
    <w:rsid w:val="001F1336"/>
    <w:rsid w:val="001F1474"/>
    <w:rsid w:val="001F1AF4"/>
    <w:rsid w:val="001F1C31"/>
    <w:rsid w:val="001F1DAD"/>
    <w:rsid w:val="001F1E76"/>
    <w:rsid w:val="001F260F"/>
    <w:rsid w:val="001F2768"/>
    <w:rsid w:val="001F2865"/>
    <w:rsid w:val="001F2B7F"/>
    <w:rsid w:val="001F309A"/>
    <w:rsid w:val="001F33AC"/>
    <w:rsid w:val="001F33BE"/>
    <w:rsid w:val="001F34FC"/>
    <w:rsid w:val="001F3640"/>
    <w:rsid w:val="001F36D6"/>
    <w:rsid w:val="001F37AB"/>
    <w:rsid w:val="001F384E"/>
    <w:rsid w:val="001F4028"/>
    <w:rsid w:val="001F4349"/>
    <w:rsid w:val="001F43E0"/>
    <w:rsid w:val="001F467C"/>
    <w:rsid w:val="001F4BC3"/>
    <w:rsid w:val="001F4CB5"/>
    <w:rsid w:val="001F55EE"/>
    <w:rsid w:val="001F5691"/>
    <w:rsid w:val="001F5C96"/>
    <w:rsid w:val="001F6124"/>
    <w:rsid w:val="001F6182"/>
    <w:rsid w:val="001F6474"/>
    <w:rsid w:val="001F6745"/>
    <w:rsid w:val="001F67A3"/>
    <w:rsid w:val="001F6CBF"/>
    <w:rsid w:val="001F6E22"/>
    <w:rsid w:val="001F6E3F"/>
    <w:rsid w:val="001F7440"/>
    <w:rsid w:val="00200506"/>
    <w:rsid w:val="00200712"/>
    <w:rsid w:val="002007F4"/>
    <w:rsid w:val="00200BC5"/>
    <w:rsid w:val="00201665"/>
    <w:rsid w:val="002017F1"/>
    <w:rsid w:val="00201E4F"/>
    <w:rsid w:val="00202138"/>
    <w:rsid w:val="002022BC"/>
    <w:rsid w:val="0020265B"/>
    <w:rsid w:val="002026AB"/>
    <w:rsid w:val="00202976"/>
    <w:rsid w:val="00202A1B"/>
    <w:rsid w:val="00203111"/>
    <w:rsid w:val="0020311C"/>
    <w:rsid w:val="002032A6"/>
    <w:rsid w:val="002039DC"/>
    <w:rsid w:val="00204479"/>
    <w:rsid w:val="0020455E"/>
    <w:rsid w:val="0020457F"/>
    <w:rsid w:val="0020494C"/>
    <w:rsid w:val="0020499D"/>
    <w:rsid w:val="0020530F"/>
    <w:rsid w:val="00205838"/>
    <w:rsid w:val="0020620D"/>
    <w:rsid w:val="00206283"/>
    <w:rsid w:val="002067B1"/>
    <w:rsid w:val="00206906"/>
    <w:rsid w:val="00206CBE"/>
    <w:rsid w:val="00207275"/>
    <w:rsid w:val="002105FD"/>
    <w:rsid w:val="00210868"/>
    <w:rsid w:val="002109E4"/>
    <w:rsid w:val="00210BE7"/>
    <w:rsid w:val="00211E05"/>
    <w:rsid w:val="00211F9A"/>
    <w:rsid w:val="002125DC"/>
    <w:rsid w:val="002126A2"/>
    <w:rsid w:val="002127BE"/>
    <w:rsid w:val="002131E5"/>
    <w:rsid w:val="00213C83"/>
    <w:rsid w:val="0021456F"/>
    <w:rsid w:val="00214770"/>
    <w:rsid w:val="00214F19"/>
    <w:rsid w:val="002151CD"/>
    <w:rsid w:val="0021549B"/>
    <w:rsid w:val="002155E2"/>
    <w:rsid w:val="00215657"/>
    <w:rsid w:val="0021580F"/>
    <w:rsid w:val="0021625E"/>
    <w:rsid w:val="002162C9"/>
    <w:rsid w:val="002163A1"/>
    <w:rsid w:val="00216AF5"/>
    <w:rsid w:val="00216BC5"/>
    <w:rsid w:val="00216C6E"/>
    <w:rsid w:val="00216F1E"/>
    <w:rsid w:val="00217390"/>
    <w:rsid w:val="0021771C"/>
    <w:rsid w:val="00217A8E"/>
    <w:rsid w:val="00217BD5"/>
    <w:rsid w:val="00217CBF"/>
    <w:rsid w:val="00217E0A"/>
    <w:rsid w:val="00217FF2"/>
    <w:rsid w:val="002211A8"/>
    <w:rsid w:val="00221264"/>
    <w:rsid w:val="002214C1"/>
    <w:rsid w:val="00221A64"/>
    <w:rsid w:val="002229D0"/>
    <w:rsid w:val="002229DE"/>
    <w:rsid w:val="00222E25"/>
    <w:rsid w:val="00223420"/>
    <w:rsid w:val="00224071"/>
    <w:rsid w:val="00224165"/>
    <w:rsid w:val="0022434F"/>
    <w:rsid w:val="0022471C"/>
    <w:rsid w:val="00224787"/>
    <w:rsid w:val="00224C64"/>
    <w:rsid w:val="00224C89"/>
    <w:rsid w:val="00224CDE"/>
    <w:rsid w:val="00225176"/>
    <w:rsid w:val="0022570B"/>
    <w:rsid w:val="002264CC"/>
    <w:rsid w:val="00226566"/>
    <w:rsid w:val="00226CE4"/>
    <w:rsid w:val="0022703B"/>
    <w:rsid w:val="0022705E"/>
    <w:rsid w:val="00227266"/>
    <w:rsid w:val="00227421"/>
    <w:rsid w:val="002276A8"/>
    <w:rsid w:val="0022774E"/>
    <w:rsid w:val="00227C47"/>
    <w:rsid w:val="00227CC0"/>
    <w:rsid w:val="00227E90"/>
    <w:rsid w:val="00227F49"/>
    <w:rsid w:val="00230002"/>
    <w:rsid w:val="00230D1C"/>
    <w:rsid w:val="00230EA2"/>
    <w:rsid w:val="00230F14"/>
    <w:rsid w:val="00230F8B"/>
    <w:rsid w:val="00231166"/>
    <w:rsid w:val="00231288"/>
    <w:rsid w:val="002319EE"/>
    <w:rsid w:val="002328D6"/>
    <w:rsid w:val="00232B69"/>
    <w:rsid w:val="00232C83"/>
    <w:rsid w:val="00232E0B"/>
    <w:rsid w:val="002333B4"/>
    <w:rsid w:val="00233B03"/>
    <w:rsid w:val="00233DFE"/>
    <w:rsid w:val="00234055"/>
    <w:rsid w:val="002341A0"/>
    <w:rsid w:val="002342E4"/>
    <w:rsid w:val="002346CA"/>
    <w:rsid w:val="002347ED"/>
    <w:rsid w:val="002348CC"/>
    <w:rsid w:val="00234DB8"/>
    <w:rsid w:val="00234F09"/>
    <w:rsid w:val="00234F33"/>
    <w:rsid w:val="00235109"/>
    <w:rsid w:val="002352C3"/>
    <w:rsid w:val="00235465"/>
    <w:rsid w:val="00235674"/>
    <w:rsid w:val="00235CA2"/>
    <w:rsid w:val="00236DA0"/>
    <w:rsid w:val="00236DEB"/>
    <w:rsid w:val="00237048"/>
    <w:rsid w:val="002379F1"/>
    <w:rsid w:val="00237C4C"/>
    <w:rsid w:val="00240311"/>
    <w:rsid w:val="00240705"/>
    <w:rsid w:val="00240A1A"/>
    <w:rsid w:val="00240BA6"/>
    <w:rsid w:val="0024170E"/>
    <w:rsid w:val="002417E3"/>
    <w:rsid w:val="00241B1B"/>
    <w:rsid w:val="00241C84"/>
    <w:rsid w:val="00242088"/>
    <w:rsid w:val="0024238E"/>
    <w:rsid w:val="00242C5A"/>
    <w:rsid w:val="00243344"/>
    <w:rsid w:val="002436CC"/>
    <w:rsid w:val="00243B77"/>
    <w:rsid w:val="002445C1"/>
    <w:rsid w:val="00244A75"/>
    <w:rsid w:val="00244BB0"/>
    <w:rsid w:val="00244D53"/>
    <w:rsid w:val="0024508D"/>
    <w:rsid w:val="00246128"/>
    <w:rsid w:val="002466EF"/>
    <w:rsid w:val="002469FC"/>
    <w:rsid w:val="00246E42"/>
    <w:rsid w:val="002472AA"/>
    <w:rsid w:val="0024746F"/>
    <w:rsid w:val="002477BB"/>
    <w:rsid w:val="00247B17"/>
    <w:rsid w:val="00247F6E"/>
    <w:rsid w:val="00250712"/>
    <w:rsid w:val="002507C9"/>
    <w:rsid w:val="00250A44"/>
    <w:rsid w:val="0025119A"/>
    <w:rsid w:val="002511CB"/>
    <w:rsid w:val="00251267"/>
    <w:rsid w:val="002513C6"/>
    <w:rsid w:val="0025243A"/>
    <w:rsid w:val="00252978"/>
    <w:rsid w:val="00252DA3"/>
    <w:rsid w:val="002530D0"/>
    <w:rsid w:val="0025384D"/>
    <w:rsid w:val="00253B82"/>
    <w:rsid w:val="00253F7D"/>
    <w:rsid w:val="002543F6"/>
    <w:rsid w:val="00254A6A"/>
    <w:rsid w:val="00254FCB"/>
    <w:rsid w:val="002552A4"/>
    <w:rsid w:val="0025552D"/>
    <w:rsid w:val="0025573C"/>
    <w:rsid w:val="002558AB"/>
    <w:rsid w:val="00256053"/>
    <w:rsid w:val="00256454"/>
    <w:rsid w:val="0025699B"/>
    <w:rsid w:val="00257704"/>
    <w:rsid w:val="0025772A"/>
    <w:rsid w:val="00257A5B"/>
    <w:rsid w:val="00257AA8"/>
    <w:rsid w:val="00257C89"/>
    <w:rsid w:val="00260631"/>
    <w:rsid w:val="00260B23"/>
    <w:rsid w:val="00260DBC"/>
    <w:rsid w:val="002611D5"/>
    <w:rsid w:val="002616C7"/>
    <w:rsid w:val="00262327"/>
    <w:rsid w:val="002627EA"/>
    <w:rsid w:val="00262C98"/>
    <w:rsid w:val="00262EE1"/>
    <w:rsid w:val="00263176"/>
    <w:rsid w:val="00263358"/>
    <w:rsid w:val="00263411"/>
    <w:rsid w:val="002634DB"/>
    <w:rsid w:val="00263781"/>
    <w:rsid w:val="00263A10"/>
    <w:rsid w:val="00263B0E"/>
    <w:rsid w:val="00263E80"/>
    <w:rsid w:val="00263E9D"/>
    <w:rsid w:val="00264251"/>
    <w:rsid w:val="0026467C"/>
    <w:rsid w:val="00264829"/>
    <w:rsid w:val="002648A6"/>
    <w:rsid w:val="0026495E"/>
    <w:rsid w:val="00264EEB"/>
    <w:rsid w:val="00265EB4"/>
    <w:rsid w:val="0026607A"/>
    <w:rsid w:val="002665E6"/>
    <w:rsid w:val="00266F1A"/>
    <w:rsid w:val="0026787E"/>
    <w:rsid w:val="00267A72"/>
    <w:rsid w:val="00267CC7"/>
    <w:rsid w:val="00267D01"/>
    <w:rsid w:val="00270781"/>
    <w:rsid w:val="002707BB"/>
    <w:rsid w:val="00270973"/>
    <w:rsid w:val="00270CD0"/>
    <w:rsid w:val="0027100F"/>
    <w:rsid w:val="00271117"/>
    <w:rsid w:val="00271222"/>
    <w:rsid w:val="0027145B"/>
    <w:rsid w:val="002715D8"/>
    <w:rsid w:val="0027198E"/>
    <w:rsid w:val="00271EE1"/>
    <w:rsid w:val="0027216A"/>
    <w:rsid w:val="002723F5"/>
    <w:rsid w:val="0027272F"/>
    <w:rsid w:val="00272FB6"/>
    <w:rsid w:val="00274C4D"/>
    <w:rsid w:val="00274E14"/>
    <w:rsid w:val="002755F7"/>
    <w:rsid w:val="00275622"/>
    <w:rsid w:val="00275764"/>
    <w:rsid w:val="00275EA4"/>
    <w:rsid w:val="00275F97"/>
    <w:rsid w:val="0027617E"/>
    <w:rsid w:val="002762A3"/>
    <w:rsid w:val="00276B5F"/>
    <w:rsid w:val="00277492"/>
    <w:rsid w:val="00277526"/>
    <w:rsid w:val="002779CB"/>
    <w:rsid w:val="00277A24"/>
    <w:rsid w:val="00277F7D"/>
    <w:rsid w:val="00277FE5"/>
    <w:rsid w:val="00280210"/>
    <w:rsid w:val="002803FB"/>
    <w:rsid w:val="002806FE"/>
    <w:rsid w:val="00280E03"/>
    <w:rsid w:val="00280EAE"/>
    <w:rsid w:val="00280EDC"/>
    <w:rsid w:val="00281308"/>
    <w:rsid w:val="002813C9"/>
    <w:rsid w:val="00281717"/>
    <w:rsid w:val="002818B8"/>
    <w:rsid w:val="00281FF9"/>
    <w:rsid w:val="00282850"/>
    <w:rsid w:val="00282968"/>
    <w:rsid w:val="00282A17"/>
    <w:rsid w:val="00282E11"/>
    <w:rsid w:val="002831F3"/>
    <w:rsid w:val="00283771"/>
    <w:rsid w:val="00284181"/>
    <w:rsid w:val="0028424D"/>
    <w:rsid w:val="00284802"/>
    <w:rsid w:val="00284CBA"/>
    <w:rsid w:val="00284EB6"/>
    <w:rsid w:val="00284FDF"/>
    <w:rsid w:val="00285159"/>
    <w:rsid w:val="00285252"/>
    <w:rsid w:val="0028526D"/>
    <w:rsid w:val="00285429"/>
    <w:rsid w:val="00285502"/>
    <w:rsid w:val="002857CD"/>
    <w:rsid w:val="00285830"/>
    <w:rsid w:val="00286B74"/>
    <w:rsid w:val="00286CEE"/>
    <w:rsid w:val="0028727B"/>
    <w:rsid w:val="002872E5"/>
    <w:rsid w:val="00287444"/>
    <w:rsid w:val="00287C79"/>
    <w:rsid w:val="00287F73"/>
    <w:rsid w:val="00287F83"/>
    <w:rsid w:val="00290003"/>
    <w:rsid w:val="00290901"/>
    <w:rsid w:val="00290A2B"/>
    <w:rsid w:val="00290B0D"/>
    <w:rsid w:val="00290BC1"/>
    <w:rsid w:val="00290D8A"/>
    <w:rsid w:val="00291339"/>
    <w:rsid w:val="0029213E"/>
    <w:rsid w:val="002924F9"/>
    <w:rsid w:val="00293AF0"/>
    <w:rsid w:val="00293F3E"/>
    <w:rsid w:val="00294099"/>
    <w:rsid w:val="00294106"/>
    <w:rsid w:val="00294A14"/>
    <w:rsid w:val="00294CBD"/>
    <w:rsid w:val="00295325"/>
    <w:rsid w:val="002956D7"/>
    <w:rsid w:val="002958A2"/>
    <w:rsid w:val="00295A18"/>
    <w:rsid w:val="00295E21"/>
    <w:rsid w:val="0029615E"/>
    <w:rsid w:val="0029681B"/>
    <w:rsid w:val="00296BE0"/>
    <w:rsid w:val="00296CC5"/>
    <w:rsid w:val="002970F7"/>
    <w:rsid w:val="002978B9"/>
    <w:rsid w:val="002979F1"/>
    <w:rsid w:val="00297C6D"/>
    <w:rsid w:val="002A0122"/>
    <w:rsid w:val="002A016F"/>
    <w:rsid w:val="002A01F7"/>
    <w:rsid w:val="002A02E6"/>
    <w:rsid w:val="002A0563"/>
    <w:rsid w:val="002A06CA"/>
    <w:rsid w:val="002A0ACB"/>
    <w:rsid w:val="002A0E14"/>
    <w:rsid w:val="002A1147"/>
    <w:rsid w:val="002A13DB"/>
    <w:rsid w:val="002A183D"/>
    <w:rsid w:val="002A2156"/>
    <w:rsid w:val="002A228E"/>
    <w:rsid w:val="002A2345"/>
    <w:rsid w:val="002A262F"/>
    <w:rsid w:val="002A304F"/>
    <w:rsid w:val="002A3605"/>
    <w:rsid w:val="002A3FAB"/>
    <w:rsid w:val="002A5ADD"/>
    <w:rsid w:val="002A629B"/>
    <w:rsid w:val="002A6952"/>
    <w:rsid w:val="002A6B7F"/>
    <w:rsid w:val="002A7A56"/>
    <w:rsid w:val="002B04A0"/>
    <w:rsid w:val="002B0FB1"/>
    <w:rsid w:val="002B16A6"/>
    <w:rsid w:val="002B2106"/>
    <w:rsid w:val="002B220F"/>
    <w:rsid w:val="002B22A3"/>
    <w:rsid w:val="002B22C0"/>
    <w:rsid w:val="002B2A6D"/>
    <w:rsid w:val="002B2ED4"/>
    <w:rsid w:val="002B3088"/>
    <w:rsid w:val="002B30C2"/>
    <w:rsid w:val="002B3367"/>
    <w:rsid w:val="002B3851"/>
    <w:rsid w:val="002B3BE0"/>
    <w:rsid w:val="002B453C"/>
    <w:rsid w:val="002B49CA"/>
    <w:rsid w:val="002B4B65"/>
    <w:rsid w:val="002B5B3F"/>
    <w:rsid w:val="002B5CED"/>
    <w:rsid w:val="002B5E70"/>
    <w:rsid w:val="002B6065"/>
    <w:rsid w:val="002B6A61"/>
    <w:rsid w:val="002B6B4D"/>
    <w:rsid w:val="002B6E7A"/>
    <w:rsid w:val="002B6F99"/>
    <w:rsid w:val="002B7AB4"/>
    <w:rsid w:val="002B7C0F"/>
    <w:rsid w:val="002C0134"/>
    <w:rsid w:val="002C1434"/>
    <w:rsid w:val="002C14E6"/>
    <w:rsid w:val="002C1776"/>
    <w:rsid w:val="002C17C2"/>
    <w:rsid w:val="002C189C"/>
    <w:rsid w:val="002C1BC3"/>
    <w:rsid w:val="002C26F9"/>
    <w:rsid w:val="002C2C75"/>
    <w:rsid w:val="002C3122"/>
    <w:rsid w:val="002C3557"/>
    <w:rsid w:val="002C3813"/>
    <w:rsid w:val="002C3C9C"/>
    <w:rsid w:val="002C421A"/>
    <w:rsid w:val="002C42AE"/>
    <w:rsid w:val="002C4684"/>
    <w:rsid w:val="002C5109"/>
    <w:rsid w:val="002C5148"/>
    <w:rsid w:val="002C523D"/>
    <w:rsid w:val="002C5758"/>
    <w:rsid w:val="002C6633"/>
    <w:rsid w:val="002C6D8C"/>
    <w:rsid w:val="002C7018"/>
    <w:rsid w:val="002C7127"/>
    <w:rsid w:val="002C7D5F"/>
    <w:rsid w:val="002D0AC9"/>
    <w:rsid w:val="002D0CA9"/>
    <w:rsid w:val="002D1244"/>
    <w:rsid w:val="002D1D89"/>
    <w:rsid w:val="002D1F2D"/>
    <w:rsid w:val="002D1F88"/>
    <w:rsid w:val="002D2D8A"/>
    <w:rsid w:val="002D3080"/>
    <w:rsid w:val="002D31AE"/>
    <w:rsid w:val="002D3353"/>
    <w:rsid w:val="002D382A"/>
    <w:rsid w:val="002D38B1"/>
    <w:rsid w:val="002D3939"/>
    <w:rsid w:val="002D4299"/>
    <w:rsid w:val="002D4552"/>
    <w:rsid w:val="002D4911"/>
    <w:rsid w:val="002D4C55"/>
    <w:rsid w:val="002D4D30"/>
    <w:rsid w:val="002D5022"/>
    <w:rsid w:val="002D5260"/>
    <w:rsid w:val="002D5511"/>
    <w:rsid w:val="002D5CA7"/>
    <w:rsid w:val="002D65D4"/>
    <w:rsid w:val="002D6716"/>
    <w:rsid w:val="002D69FD"/>
    <w:rsid w:val="002D6DAA"/>
    <w:rsid w:val="002D6F12"/>
    <w:rsid w:val="002D7385"/>
    <w:rsid w:val="002D74FE"/>
    <w:rsid w:val="002D7855"/>
    <w:rsid w:val="002D7DBE"/>
    <w:rsid w:val="002E1260"/>
    <w:rsid w:val="002E27DF"/>
    <w:rsid w:val="002E2B09"/>
    <w:rsid w:val="002E3085"/>
    <w:rsid w:val="002E3CAB"/>
    <w:rsid w:val="002E471B"/>
    <w:rsid w:val="002E4825"/>
    <w:rsid w:val="002E4A23"/>
    <w:rsid w:val="002E4C1D"/>
    <w:rsid w:val="002E4D8A"/>
    <w:rsid w:val="002E5120"/>
    <w:rsid w:val="002E5D66"/>
    <w:rsid w:val="002E62EA"/>
    <w:rsid w:val="002E6A76"/>
    <w:rsid w:val="002E6F5F"/>
    <w:rsid w:val="002E6FFF"/>
    <w:rsid w:val="002E736B"/>
    <w:rsid w:val="002E7511"/>
    <w:rsid w:val="002E7F8E"/>
    <w:rsid w:val="002F056E"/>
    <w:rsid w:val="002F09E4"/>
    <w:rsid w:val="002F0CFF"/>
    <w:rsid w:val="002F0E94"/>
    <w:rsid w:val="002F1081"/>
    <w:rsid w:val="002F1137"/>
    <w:rsid w:val="002F1DFA"/>
    <w:rsid w:val="002F2039"/>
    <w:rsid w:val="002F2297"/>
    <w:rsid w:val="002F265B"/>
    <w:rsid w:val="002F2AA1"/>
    <w:rsid w:val="002F2C35"/>
    <w:rsid w:val="002F3288"/>
    <w:rsid w:val="002F46E0"/>
    <w:rsid w:val="002F47BC"/>
    <w:rsid w:val="002F4829"/>
    <w:rsid w:val="002F4900"/>
    <w:rsid w:val="002F4BF5"/>
    <w:rsid w:val="002F4FFB"/>
    <w:rsid w:val="002F5928"/>
    <w:rsid w:val="002F5BD6"/>
    <w:rsid w:val="002F5BEA"/>
    <w:rsid w:val="002F5C79"/>
    <w:rsid w:val="002F5CAC"/>
    <w:rsid w:val="002F5E71"/>
    <w:rsid w:val="002F622F"/>
    <w:rsid w:val="002F68BF"/>
    <w:rsid w:val="002F6D13"/>
    <w:rsid w:val="002F6E7F"/>
    <w:rsid w:val="002F736D"/>
    <w:rsid w:val="003002AF"/>
    <w:rsid w:val="0030106A"/>
    <w:rsid w:val="003010BE"/>
    <w:rsid w:val="00301411"/>
    <w:rsid w:val="003014EA"/>
    <w:rsid w:val="00301C85"/>
    <w:rsid w:val="0030242F"/>
    <w:rsid w:val="00302789"/>
    <w:rsid w:val="0030350B"/>
    <w:rsid w:val="00303823"/>
    <w:rsid w:val="00304270"/>
    <w:rsid w:val="003049B9"/>
    <w:rsid w:val="003055FC"/>
    <w:rsid w:val="00305A04"/>
    <w:rsid w:val="00305C52"/>
    <w:rsid w:val="003062F9"/>
    <w:rsid w:val="003066AE"/>
    <w:rsid w:val="0030709E"/>
    <w:rsid w:val="003072C8"/>
    <w:rsid w:val="00307441"/>
    <w:rsid w:val="003074EB"/>
    <w:rsid w:val="003077AC"/>
    <w:rsid w:val="00307BA5"/>
    <w:rsid w:val="003102B3"/>
    <w:rsid w:val="00310A4C"/>
    <w:rsid w:val="00310A87"/>
    <w:rsid w:val="00310BC1"/>
    <w:rsid w:val="00310DC2"/>
    <w:rsid w:val="0031174C"/>
    <w:rsid w:val="003117D5"/>
    <w:rsid w:val="00311B06"/>
    <w:rsid w:val="00311E8A"/>
    <w:rsid w:val="00311F91"/>
    <w:rsid w:val="00312064"/>
    <w:rsid w:val="00312849"/>
    <w:rsid w:val="003132FE"/>
    <w:rsid w:val="00313874"/>
    <w:rsid w:val="00313AF7"/>
    <w:rsid w:val="0031445E"/>
    <w:rsid w:val="00314624"/>
    <w:rsid w:val="003146B8"/>
    <w:rsid w:val="00314A2A"/>
    <w:rsid w:val="00314B10"/>
    <w:rsid w:val="0031533F"/>
    <w:rsid w:val="00315356"/>
    <w:rsid w:val="003154B6"/>
    <w:rsid w:val="003157EF"/>
    <w:rsid w:val="00315FD1"/>
    <w:rsid w:val="00316583"/>
    <w:rsid w:val="00316798"/>
    <w:rsid w:val="00316DF8"/>
    <w:rsid w:val="00316EF3"/>
    <w:rsid w:val="00317270"/>
    <w:rsid w:val="00320096"/>
    <w:rsid w:val="003201CE"/>
    <w:rsid w:val="003202EE"/>
    <w:rsid w:val="00320347"/>
    <w:rsid w:val="00320F84"/>
    <w:rsid w:val="003212C0"/>
    <w:rsid w:val="00321327"/>
    <w:rsid w:val="003222EF"/>
    <w:rsid w:val="003222F1"/>
    <w:rsid w:val="00322417"/>
    <w:rsid w:val="003227DF"/>
    <w:rsid w:val="00322CBE"/>
    <w:rsid w:val="00323AB2"/>
    <w:rsid w:val="00323FB5"/>
    <w:rsid w:val="003242B3"/>
    <w:rsid w:val="0032431C"/>
    <w:rsid w:val="003245EF"/>
    <w:rsid w:val="00325476"/>
    <w:rsid w:val="003256C3"/>
    <w:rsid w:val="0032597D"/>
    <w:rsid w:val="00325D96"/>
    <w:rsid w:val="00325DB2"/>
    <w:rsid w:val="00325EA6"/>
    <w:rsid w:val="0032601C"/>
    <w:rsid w:val="00326A7D"/>
    <w:rsid w:val="00326BAD"/>
    <w:rsid w:val="00327324"/>
    <w:rsid w:val="00327B12"/>
    <w:rsid w:val="00327E03"/>
    <w:rsid w:val="00330048"/>
    <w:rsid w:val="00330658"/>
    <w:rsid w:val="00330813"/>
    <w:rsid w:val="00330A2A"/>
    <w:rsid w:val="00330E8A"/>
    <w:rsid w:val="00331143"/>
    <w:rsid w:val="003314C9"/>
    <w:rsid w:val="00331613"/>
    <w:rsid w:val="00331DC2"/>
    <w:rsid w:val="00332012"/>
    <w:rsid w:val="003322A0"/>
    <w:rsid w:val="00333019"/>
    <w:rsid w:val="00333167"/>
    <w:rsid w:val="00333587"/>
    <w:rsid w:val="00333778"/>
    <w:rsid w:val="00333946"/>
    <w:rsid w:val="00333D55"/>
    <w:rsid w:val="003341C7"/>
    <w:rsid w:val="003347EB"/>
    <w:rsid w:val="00335412"/>
    <w:rsid w:val="003355F9"/>
    <w:rsid w:val="003356E7"/>
    <w:rsid w:val="00335D45"/>
    <w:rsid w:val="003361E3"/>
    <w:rsid w:val="0033622D"/>
    <w:rsid w:val="003363B9"/>
    <w:rsid w:val="003364A6"/>
    <w:rsid w:val="00336CBE"/>
    <w:rsid w:val="00336E78"/>
    <w:rsid w:val="0033702B"/>
    <w:rsid w:val="00337A9E"/>
    <w:rsid w:val="00337C87"/>
    <w:rsid w:val="003403E3"/>
    <w:rsid w:val="00340B6B"/>
    <w:rsid w:val="003410F5"/>
    <w:rsid w:val="00341183"/>
    <w:rsid w:val="003412E5"/>
    <w:rsid w:val="0034172C"/>
    <w:rsid w:val="003427A4"/>
    <w:rsid w:val="003434A2"/>
    <w:rsid w:val="00343560"/>
    <w:rsid w:val="003436D5"/>
    <w:rsid w:val="00344728"/>
    <w:rsid w:val="00344C0B"/>
    <w:rsid w:val="00344F40"/>
    <w:rsid w:val="00345641"/>
    <w:rsid w:val="00345D7D"/>
    <w:rsid w:val="0034609A"/>
    <w:rsid w:val="00346AC0"/>
    <w:rsid w:val="00346EA3"/>
    <w:rsid w:val="00346F2E"/>
    <w:rsid w:val="00347189"/>
    <w:rsid w:val="0034774D"/>
    <w:rsid w:val="00347C98"/>
    <w:rsid w:val="00347E86"/>
    <w:rsid w:val="003500BF"/>
    <w:rsid w:val="00350427"/>
    <w:rsid w:val="00350A00"/>
    <w:rsid w:val="0035103F"/>
    <w:rsid w:val="00351220"/>
    <w:rsid w:val="00351D86"/>
    <w:rsid w:val="00351DE9"/>
    <w:rsid w:val="0035210D"/>
    <w:rsid w:val="003524E9"/>
    <w:rsid w:val="00352A1C"/>
    <w:rsid w:val="00352BBB"/>
    <w:rsid w:val="00352E5A"/>
    <w:rsid w:val="003539FA"/>
    <w:rsid w:val="00353A3F"/>
    <w:rsid w:val="00353E1F"/>
    <w:rsid w:val="00353ED0"/>
    <w:rsid w:val="00354467"/>
    <w:rsid w:val="00354DB2"/>
    <w:rsid w:val="003550E5"/>
    <w:rsid w:val="003557A5"/>
    <w:rsid w:val="00355DC1"/>
    <w:rsid w:val="00355E7C"/>
    <w:rsid w:val="003560BB"/>
    <w:rsid w:val="0035623A"/>
    <w:rsid w:val="00356947"/>
    <w:rsid w:val="003570F3"/>
    <w:rsid w:val="003571B6"/>
    <w:rsid w:val="00357331"/>
    <w:rsid w:val="0035745B"/>
    <w:rsid w:val="0035782B"/>
    <w:rsid w:val="00357B6B"/>
    <w:rsid w:val="00357DE2"/>
    <w:rsid w:val="00357F4A"/>
    <w:rsid w:val="00357F6A"/>
    <w:rsid w:val="003601A3"/>
    <w:rsid w:val="003605B3"/>
    <w:rsid w:val="003607CD"/>
    <w:rsid w:val="00360AC1"/>
    <w:rsid w:val="00360AE3"/>
    <w:rsid w:val="00360C4D"/>
    <w:rsid w:val="00361000"/>
    <w:rsid w:val="003617B4"/>
    <w:rsid w:val="00361FC7"/>
    <w:rsid w:val="00362476"/>
    <w:rsid w:val="0036263A"/>
    <w:rsid w:val="003629F5"/>
    <w:rsid w:val="0036318C"/>
    <w:rsid w:val="003631B1"/>
    <w:rsid w:val="003635E0"/>
    <w:rsid w:val="00363AE1"/>
    <w:rsid w:val="00363B3F"/>
    <w:rsid w:val="00363ED7"/>
    <w:rsid w:val="00364B41"/>
    <w:rsid w:val="00364B8C"/>
    <w:rsid w:val="0036536F"/>
    <w:rsid w:val="00365420"/>
    <w:rsid w:val="00366334"/>
    <w:rsid w:val="00366369"/>
    <w:rsid w:val="003663D5"/>
    <w:rsid w:val="00366938"/>
    <w:rsid w:val="003670EE"/>
    <w:rsid w:val="003673A6"/>
    <w:rsid w:val="0036775C"/>
    <w:rsid w:val="00367C31"/>
    <w:rsid w:val="00367E3C"/>
    <w:rsid w:val="00367E88"/>
    <w:rsid w:val="0037047C"/>
    <w:rsid w:val="003705A3"/>
    <w:rsid w:val="00370E00"/>
    <w:rsid w:val="003714FA"/>
    <w:rsid w:val="00371612"/>
    <w:rsid w:val="00371DDD"/>
    <w:rsid w:val="003725DC"/>
    <w:rsid w:val="003736E2"/>
    <w:rsid w:val="003737E4"/>
    <w:rsid w:val="00373926"/>
    <w:rsid w:val="003742EF"/>
    <w:rsid w:val="003743F4"/>
    <w:rsid w:val="00374588"/>
    <w:rsid w:val="0037469C"/>
    <w:rsid w:val="00374858"/>
    <w:rsid w:val="00374E05"/>
    <w:rsid w:val="003752FB"/>
    <w:rsid w:val="003754A7"/>
    <w:rsid w:val="0037565A"/>
    <w:rsid w:val="00375A26"/>
    <w:rsid w:val="00375A72"/>
    <w:rsid w:val="00375B2C"/>
    <w:rsid w:val="003768C8"/>
    <w:rsid w:val="003771F9"/>
    <w:rsid w:val="0037759F"/>
    <w:rsid w:val="003777BF"/>
    <w:rsid w:val="00380027"/>
    <w:rsid w:val="003806A3"/>
    <w:rsid w:val="00380992"/>
    <w:rsid w:val="003817D1"/>
    <w:rsid w:val="00381929"/>
    <w:rsid w:val="00382478"/>
    <w:rsid w:val="003833F3"/>
    <w:rsid w:val="00383619"/>
    <w:rsid w:val="00383810"/>
    <w:rsid w:val="00384684"/>
    <w:rsid w:val="00384D0C"/>
    <w:rsid w:val="00385149"/>
    <w:rsid w:val="003852E4"/>
    <w:rsid w:val="00385329"/>
    <w:rsid w:val="003856C9"/>
    <w:rsid w:val="00385807"/>
    <w:rsid w:val="00385A36"/>
    <w:rsid w:val="00385CCD"/>
    <w:rsid w:val="00385ECE"/>
    <w:rsid w:val="003862E2"/>
    <w:rsid w:val="00386495"/>
    <w:rsid w:val="003872AC"/>
    <w:rsid w:val="00387BC8"/>
    <w:rsid w:val="00390064"/>
    <w:rsid w:val="003903E5"/>
    <w:rsid w:val="00390A14"/>
    <w:rsid w:val="00391506"/>
    <w:rsid w:val="003915EC"/>
    <w:rsid w:val="00391D90"/>
    <w:rsid w:val="00391F98"/>
    <w:rsid w:val="0039208D"/>
    <w:rsid w:val="003923AD"/>
    <w:rsid w:val="003925D1"/>
    <w:rsid w:val="00392794"/>
    <w:rsid w:val="00392A5D"/>
    <w:rsid w:val="00392D9D"/>
    <w:rsid w:val="00393986"/>
    <w:rsid w:val="00393C9F"/>
    <w:rsid w:val="003940BC"/>
    <w:rsid w:val="00394124"/>
    <w:rsid w:val="003942F5"/>
    <w:rsid w:val="00394379"/>
    <w:rsid w:val="00394497"/>
    <w:rsid w:val="00394731"/>
    <w:rsid w:val="00394924"/>
    <w:rsid w:val="00394E0C"/>
    <w:rsid w:val="00395F4C"/>
    <w:rsid w:val="00396230"/>
    <w:rsid w:val="00396BBC"/>
    <w:rsid w:val="00396BCD"/>
    <w:rsid w:val="003974AC"/>
    <w:rsid w:val="00397995"/>
    <w:rsid w:val="00397D09"/>
    <w:rsid w:val="003A0B78"/>
    <w:rsid w:val="003A0EB2"/>
    <w:rsid w:val="003A1675"/>
    <w:rsid w:val="003A1740"/>
    <w:rsid w:val="003A1971"/>
    <w:rsid w:val="003A1991"/>
    <w:rsid w:val="003A1EF9"/>
    <w:rsid w:val="003A2009"/>
    <w:rsid w:val="003A238C"/>
    <w:rsid w:val="003A25E3"/>
    <w:rsid w:val="003A2A97"/>
    <w:rsid w:val="003A2B74"/>
    <w:rsid w:val="003A2E6A"/>
    <w:rsid w:val="003A3111"/>
    <w:rsid w:val="003A3585"/>
    <w:rsid w:val="003A3593"/>
    <w:rsid w:val="003A3843"/>
    <w:rsid w:val="003A3E5A"/>
    <w:rsid w:val="003A4014"/>
    <w:rsid w:val="003A403F"/>
    <w:rsid w:val="003A414A"/>
    <w:rsid w:val="003A41C9"/>
    <w:rsid w:val="003A42AA"/>
    <w:rsid w:val="003A432E"/>
    <w:rsid w:val="003A434D"/>
    <w:rsid w:val="003A461D"/>
    <w:rsid w:val="003A4651"/>
    <w:rsid w:val="003A47F4"/>
    <w:rsid w:val="003A49DF"/>
    <w:rsid w:val="003A4A6D"/>
    <w:rsid w:val="003A4B8E"/>
    <w:rsid w:val="003A5086"/>
    <w:rsid w:val="003A5442"/>
    <w:rsid w:val="003A5E2F"/>
    <w:rsid w:val="003A5EBB"/>
    <w:rsid w:val="003A60F3"/>
    <w:rsid w:val="003A64D4"/>
    <w:rsid w:val="003A6634"/>
    <w:rsid w:val="003A72C4"/>
    <w:rsid w:val="003A74AE"/>
    <w:rsid w:val="003A77A1"/>
    <w:rsid w:val="003A77EB"/>
    <w:rsid w:val="003A78B9"/>
    <w:rsid w:val="003B01CE"/>
    <w:rsid w:val="003B0E69"/>
    <w:rsid w:val="003B0E75"/>
    <w:rsid w:val="003B1BDF"/>
    <w:rsid w:val="003B2398"/>
    <w:rsid w:val="003B28A1"/>
    <w:rsid w:val="003B28FB"/>
    <w:rsid w:val="003B292F"/>
    <w:rsid w:val="003B2A8C"/>
    <w:rsid w:val="003B2FD8"/>
    <w:rsid w:val="003B30E8"/>
    <w:rsid w:val="003B34A7"/>
    <w:rsid w:val="003B3BD5"/>
    <w:rsid w:val="003B3DAC"/>
    <w:rsid w:val="003B3EE8"/>
    <w:rsid w:val="003B3F17"/>
    <w:rsid w:val="003B47D7"/>
    <w:rsid w:val="003B48B7"/>
    <w:rsid w:val="003B4FBB"/>
    <w:rsid w:val="003B597A"/>
    <w:rsid w:val="003B5CB7"/>
    <w:rsid w:val="003B5DC0"/>
    <w:rsid w:val="003B6965"/>
    <w:rsid w:val="003B6B9B"/>
    <w:rsid w:val="003B765C"/>
    <w:rsid w:val="003B7764"/>
    <w:rsid w:val="003B7B63"/>
    <w:rsid w:val="003B7D35"/>
    <w:rsid w:val="003B7DA4"/>
    <w:rsid w:val="003C00E9"/>
    <w:rsid w:val="003C0518"/>
    <w:rsid w:val="003C0C83"/>
    <w:rsid w:val="003C135D"/>
    <w:rsid w:val="003C224D"/>
    <w:rsid w:val="003C298E"/>
    <w:rsid w:val="003C3423"/>
    <w:rsid w:val="003C3459"/>
    <w:rsid w:val="003C3A88"/>
    <w:rsid w:val="003C3F30"/>
    <w:rsid w:val="003C3F42"/>
    <w:rsid w:val="003C4DF9"/>
    <w:rsid w:val="003C50B6"/>
    <w:rsid w:val="003C53DD"/>
    <w:rsid w:val="003C5DA4"/>
    <w:rsid w:val="003C5F2E"/>
    <w:rsid w:val="003C628F"/>
    <w:rsid w:val="003C637D"/>
    <w:rsid w:val="003C6792"/>
    <w:rsid w:val="003C67A3"/>
    <w:rsid w:val="003C68CC"/>
    <w:rsid w:val="003C6DBA"/>
    <w:rsid w:val="003C6DDC"/>
    <w:rsid w:val="003C6ECD"/>
    <w:rsid w:val="003C74FC"/>
    <w:rsid w:val="003C7A35"/>
    <w:rsid w:val="003D031E"/>
    <w:rsid w:val="003D0F5A"/>
    <w:rsid w:val="003D1160"/>
    <w:rsid w:val="003D11BE"/>
    <w:rsid w:val="003D139E"/>
    <w:rsid w:val="003D15BF"/>
    <w:rsid w:val="003D18EC"/>
    <w:rsid w:val="003D1997"/>
    <w:rsid w:val="003D1B85"/>
    <w:rsid w:val="003D1EBD"/>
    <w:rsid w:val="003D204E"/>
    <w:rsid w:val="003D2A8D"/>
    <w:rsid w:val="003D2CE9"/>
    <w:rsid w:val="003D3198"/>
    <w:rsid w:val="003D359D"/>
    <w:rsid w:val="003D3616"/>
    <w:rsid w:val="003D38A5"/>
    <w:rsid w:val="003D3CBA"/>
    <w:rsid w:val="003D3FCA"/>
    <w:rsid w:val="003D42CA"/>
    <w:rsid w:val="003D4A1B"/>
    <w:rsid w:val="003D4DD9"/>
    <w:rsid w:val="003D4EFE"/>
    <w:rsid w:val="003D5081"/>
    <w:rsid w:val="003D5653"/>
    <w:rsid w:val="003D5DD0"/>
    <w:rsid w:val="003D6670"/>
    <w:rsid w:val="003D705C"/>
    <w:rsid w:val="003D706C"/>
    <w:rsid w:val="003D743A"/>
    <w:rsid w:val="003D763A"/>
    <w:rsid w:val="003D77B6"/>
    <w:rsid w:val="003D7BC2"/>
    <w:rsid w:val="003D7F8C"/>
    <w:rsid w:val="003E0865"/>
    <w:rsid w:val="003E0878"/>
    <w:rsid w:val="003E0940"/>
    <w:rsid w:val="003E0F48"/>
    <w:rsid w:val="003E12B6"/>
    <w:rsid w:val="003E1317"/>
    <w:rsid w:val="003E16B2"/>
    <w:rsid w:val="003E16DE"/>
    <w:rsid w:val="003E1F33"/>
    <w:rsid w:val="003E20FA"/>
    <w:rsid w:val="003E2AAE"/>
    <w:rsid w:val="003E2ECB"/>
    <w:rsid w:val="003E2F33"/>
    <w:rsid w:val="003E320E"/>
    <w:rsid w:val="003E33CA"/>
    <w:rsid w:val="003E4528"/>
    <w:rsid w:val="003E4642"/>
    <w:rsid w:val="003E4906"/>
    <w:rsid w:val="003E491A"/>
    <w:rsid w:val="003E49CE"/>
    <w:rsid w:val="003E4DD2"/>
    <w:rsid w:val="003E4F40"/>
    <w:rsid w:val="003E527C"/>
    <w:rsid w:val="003E5AC0"/>
    <w:rsid w:val="003E5F92"/>
    <w:rsid w:val="003E6158"/>
    <w:rsid w:val="003E68F5"/>
    <w:rsid w:val="003E7330"/>
    <w:rsid w:val="003E7468"/>
    <w:rsid w:val="003E74A6"/>
    <w:rsid w:val="003E788A"/>
    <w:rsid w:val="003F08CD"/>
    <w:rsid w:val="003F0978"/>
    <w:rsid w:val="003F1BF4"/>
    <w:rsid w:val="003F1BF6"/>
    <w:rsid w:val="003F260D"/>
    <w:rsid w:val="003F265D"/>
    <w:rsid w:val="003F27AC"/>
    <w:rsid w:val="003F2822"/>
    <w:rsid w:val="003F2868"/>
    <w:rsid w:val="003F2A97"/>
    <w:rsid w:val="003F2FDD"/>
    <w:rsid w:val="003F342C"/>
    <w:rsid w:val="003F382C"/>
    <w:rsid w:val="003F485C"/>
    <w:rsid w:val="003F4B6D"/>
    <w:rsid w:val="003F4DB3"/>
    <w:rsid w:val="003F5162"/>
    <w:rsid w:val="003F577B"/>
    <w:rsid w:val="003F5786"/>
    <w:rsid w:val="003F67D0"/>
    <w:rsid w:val="003F6A49"/>
    <w:rsid w:val="003F706E"/>
    <w:rsid w:val="003F70FC"/>
    <w:rsid w:val="003F7768"/>
    <w:rsid w:val="003F77D0"/>
    <w:rsid w:val="003F7813"/>
    <w:rsid w:val="003F785C"/>
    <w:rsid w:val="003F78EF"/>
    <w:rsid w:val="003F7DD5"/>
    <w:rsid w:val="003F7FC6"/>
    <w:rsid w:val="004009DE"/>
    <w:rsid w:val="004010B8"/>
    <w:rsid w:val="004012D5"/>
    <w:rsid w:val="004013CB"/>
    <w:rsid w:val="004016DD"/>
    <w:rsid w:val="0040175D"/>
    <w:rsid w:val="004019EF"/>
    <w:rsid w:val="00401D64"/>
    <w:rsid w:val="004020D0"/>
    <w:rsid w:val="0040214C"/>
    <w:rsid w:val="0040214D"/>
    <w:rsid w:val="00402227"/>
    <w:rsid w:val="00402B0A"/>
    <w:rsid w:val="00402E63"/>
    <w:rsid w:val="0040314C"/>
    <w:rsid w:val="004034DF"/>
    <w:rsid w:val="004036EA"/>
    <w:rsid w:val="00403C76"/>
    <w:rsid w:val="00403DD7"/>
    <w:rsid w:val="004042B5"/>
    <w:rsid w:val="0040455A"/>
    <w:rsid w:val="00404645"/>
    <w:rsid w:val="00404E34"/>
    <w:rsid w:val="00404F25"/>
    <w:rsid w:val="00405C9A"/>
    <w:rsid w:val="00405E58"/>
    <w:rsid w:val="00406668"/>
    <w:rsid w:val="00406D2F"/>
    <w:rsid w:val="00406F26"/>
    <w:rsid w:val="00406F2F"/>
    <w:rsid w:val="0041007C"/>
    <w:rsid w:val="004100D1"/>
    <w:rsid w:val="004103E4"/>
    <w:rsid w:val="004103ED"/>
    <w:rsid w:val="00410CD7"/>
    <w:rsid w:val="00410DEE"/>
    <w:rsid w:val="00410E23"/>
    <w:rsid w:val="004119DB"/>
    <w:rsid w:val="00412845"/>
    <w:rsid w:val="00412956"/>
    <w:rsid w:val="00412D8F"/>
    <w:rsid w:val="00412DE4"/>
    <w:rsid w:val="00412E32"/>
    <w:rsid w:val="004130B1"/>
    <w:rsid w:val="00413C5B"/>
    <w:rsid w:val="004141D5"/>
    <w:rsid w:val="00414418"/>
    <w:rsid w:val="004152C7"/>
    <w:rsid w:val="004158FE"/>
    <w:rsid w:val="00415B02"/>
    <w:rsid w:val="00415E65"/>
    <w:rsid w:val="00416902"/>
    <w:rsid w:val="00416E62"/>
    <w:rsid w:val="0042024D"/>
    <w:rsid w:val="004202FA"/>
    <w:rsid w:val="004212CA"/>
    <w:rsid w:val="0042155C"/>
    <w:rsid w:val="00421565"/>
    <w:rsid w:val="00421764"/>
    <w:rsid w:val="00421833"/>
    <w:rsid w:val="0042185C"/>
    <w:rsid w:val="00421A14"/>
    <w:rsid w:val="004228AF"/>
    <w:rsid w:val="00422CEC"/>
    <w:rsid w:val="00422D26"/>
    <w:rsid w:val="00422F6D"/>
    <w:rsid w:val="00423058"/>
    <w:rsid w:val="004231F3"/>
    <w:rsid w:val="00424668"/>
    <w:rsid w:val="00424C4A"/>
    <w:rsid w:val="00424FD1"/>
    <w:rsid w:val="00425180"/>
    <w:rsid w:val="00425587"/>
    <w:rsid w:val="0042561A"/>
    <w:rsid w:val="00425708"/>
    <w:rsid w:val="004258E9"/>
    <w:rsid w:val="0042592A"/>
    <w:rsid w:val="00425F5F"/>
    <w:rsid w:val="00426700"/>
    <w:rsid w:val="00426A7E"/>
    <w:rsid w:val="00426D73"/>
    <w:rsid w:val="004270E8"/>
    <w:rsid w:val="0042722A"/>
    <w:rsid w:val="00427A09"/>
    <w:rsid w:val="00427CED"/>
    <w:rsid w:val="00427EDF"/>
    <w:rsid w:val="00430794"/>
    <w:rsid w:val="00430BAB"/>
    <w:rsid w:val="00430D89"/>
    <w:rsid w:val="00430F95"/>
    <w:rsid w:val="004310A1"/>
    <w:rsid w:val="004316D9"/>
    <w:rsid w:val="00431901"/>
    <w:rsid w:val="00431A64"/>
    <w:rsid w:val="00431E55"/>
    <w:rsid w:val="004321DD"/>
    <w:rsid w:val="004322E5"/>
    <w:rsid w:val="00432F9F"/>
    <w:rsid w:val="004333DF"/>
    <w:rsid w:val="00433659"/>
    <w:rsid w:val="00433730"/>
    <w:rsid w:val="0043412D"/>
    <w:rsid w:val="004343BF"/>
    <w:rsid w:val="004343EB"/>
    <w:rsid w:val="0043498D"/>
    <w:rsid w:val="00434B38"/>
    <w:rsid w:val="00434CFF"/>
    <w:rsid w:val="004354E5"/>
    <w:rsid w:val="0043555C"/>
    <w:rsid w:val="00435859"/>
    <w:rsid w:val="00435BA3"/>
    <w:rsid w:val="00435D52"/>
    <w:rsid w:val="00436305"/>
    <w:rsid w:val="00436818"/>
    <w:rsid w:val="004368D5"/>
    <w:rsid w:val="00436A1B"/>
    <w:rsid w:val="00436C2B"/>
    <w:rsid w:val="00436CDA"/>
    <w:rsid w:val="00437290"/>
    <w:rsid w:val="004375A4"/>
    <w:rsid w:val="004400FE"/>
    <w:rsid w:val="0044048D"/>
    <w:rsid w:val="004405D0"/>
    <w:rsid w:val="00440632"/>
    <w:rsid w:val="00441770"/>
    <w:rsid w:val="00441A8C"/>
    <w:rsid w:val="00441E6B"/>
    <w:rsid w:val="00441EFA"/>
    <w:rsid w:val="004420BD"/>
    <w:rsid w:val="00442404"/>
    <w:rsid w:val="00442709"/>
    <w:rsid w:val="00442B08"/>
    <w:rsid w:val="00442BF2"/>
    <w:rsid w:val="00442C8C"/>
    <w:rsid w:val="00442D32"/>
    <w:rsid w:val="00442E8F"/>
    <w:rsid w:val="00442F48"/>
    <w:rsid w:val="0044305C"/>
    <w:rsid w:val="00443326"/>
    <w:rsid w:val="0044345E"/>
    <w:rsid w:val="0044393B"/>
    <w:rsid w:val="00443E7B"/>
    <w:rsid w:val="00444009"/>
    <w:rsid w:val="00444302"/>
    <w:rsid w:val="00444631"/>
    <w:rsid w:val="00444E86"/>
    <w:rsid w:val="00444EF2"/>
    <w:rsid w:val="0044582E"/>
    <w:rsid w:val="0044598D"/>
    <w:rsid w:val="00445A7D"/>
    <w:rsid w:val="00446184"/>
    <w:rsid w:val="0044734E"/>
    <w:rsid w:val="00450A56"/>
    <w:rsid w:val="00450B4F"/>
    <w:rsid w:val="0045110C"/>
    <w:rsid w:val="004511A5"/>
    <w:rsid w:val="004512CD"/>
    <w:rsid w:val="00451EA9"/>
    <w:rsid w:val="00451F4E"/>
    <w:rsid w:val="0045278F"/>
    <w:rsid w:val="004527DF"/>
    <w:rsid w:val="004529E4"/>
    <w:rsid w:val="00452A2A"/>
    <w:rsid w:val="00452AE9"/>
    <w:rsid w:val="00452B7A"/>
    <w:rsid w:val="00452BE1"/>
    <w:rsid w:val="00452DC3"/>
    <w:rsid w:val="00453717"/>
    <w:rsid w:val="00453866"/>
    <w:rsid w:val="00453885"/>
    <w:rsid w:val="0045425A"/>
    <w:rsid w:val="00454683"/>
    <w:rsid w:val="00454C2E"/>
    <w:rsid w:val="00454CFE"/>
    <w:rsid w:val="0045520E"/>
    <w:rsid w:val="0045584C"/>
    <w:rsid w:val="004560A2"/>
    <w:rsid w:val="00456642"/>
    <w:rsid w:val="004568AC"/>
    <w:rsid w:val="004568F4"/>
    <w:rsid w:val="00456A5C"/>
    <w:rsid w:val="00457481"/>
    <w:rsid w:val="00457AAB"/>
    <w:rsid w:val="00457B51"/>
    <w:rsid w:val="00457D48"/>
    <w:rsid w:val="00457DDB"/>
    <w:rsid w:val="00460BAF"/>
    <w:rsid w:val="00461238"/>
    <w:rsid w:val="00461A7C"/>
    <w:rsid w:val="00461D74"/>
    <w:rsid w:val="00461F9D"/>
    <w:rsid w:val="004629D0"/>
    <w:rsid w:val="00463324"/>
    <w:rsid w:val="004636E5"/>
    <w:rsid w:val="0046376A"/>
    <w:rsid w:val="004642C4"/>
    <w:rsid w:val="004643D9"/>
    <w:rsid w:val="00464E1C"/>
    <w:rsid w:val="00464E4C"/>
    <w:rsid w:val="004651FA"/>
    <w:rsid w:val="0046527B"/>
    <w:rsid w:val="00465939"/>
    <w:rsid w:val="00465FA7"/>
    <w:rsid w:val="00466887"/>
    <w:rsid w:val="00466D94"/>
    <w:rsid w:val="00467132"/>
    <w:rsid w:val="004671B8"/>
    <w:rsid w:val="004672BB"/>
    <w:rsid w:val="0046741B"/>
    <w:rsid w:val="0047024D"/>
    <w:rsid w:val="00470357"/>
    <w:rsid w:val="004703CC"/>
    <w:rsid w:val="00470CDF"/>
    <w:rsid w:val="00471327"/>
    <w:rsid w:val="00471706"/>
    <w:rsid w:val="00471D9A"/>
    <w:rsid w:val="004722DE"/>
    <w:rsid w:val="004728E4"/>
    <w:rsid w:val="00472C75"/>
    <w:rsid w:val="00472F14"/>
    <w:rsid w:val="00473075"/>
    <w:rsid w:val="00473992"/>
    <w:rsid w:val="004739AD"/>
    <w:rsid w:val="00473C99"/>
    <w:rsid w:val="004743FD"/>
    <w:rsid w:val="0047481F"/>
    <w:rsid w:val="0047484F"/>
    <w:rsid w:val="0047674C"/>
    <w:rsid w:val="00476DA6"/>
    <w:rsid w:val="004779B2"/>
    <w:rsid w:val="0048054A"/>
    <w:rsid w:val="00480A39"/>
    <w:rsid w:val="00480E07"/>
    <w:rsid w:val="00481343"/>
    <w:rsid w:val="00481745"/>
    <w:rsid w:val="00483143"/>
    <w:rsid w:val="00483608"/>
    <w:rsid w:val="00483790"/>
    <w:rsid w:val="004838B1"/>
    <w:rsid w:val="004839BF"/>
    <w:rsid w:val="00483BA5"/>
    <w:rsid w:val="00484156"/>
    <w:rsid w:val="004843A9"/>
    <w:rsid w:val="00484701"/>
    <w:rsid w:val="0048484E"/>
    <w:rsid w:val="004849E2"/>
    <w:rsid w:val="00485165"/>
    <w:rsid w:val="00485261"/>
    <w:rsid w:val="0048540C"/>
    <w:rsid w:val="00485D13"/>
    <w:rsid w:val="00486145"/>
    <w:rsid w:val="004862B9"/>
    <w:rsid w:val="0048649C"/>
    <w:rsid w:val="004868F1"/>
    <w:rsid w:val="004869A3"/>
    <w:rsid w:val="00486BD0"/>
    <w:rsid w:val="00486C6B"/>
    <w:rsid w:val="00486D79"/>
    <w:rsid w:val="00486D7E"/>
    <w:rsid w:val="0048707E"/>
    <w:rsid w:val="004870CA"/>
    <w:rsid w:val="0048737E"/>
    <w:rsid w:val="0048777A"/>
    <w:rsid w:val="004879AF"/>
    <w:rsid w:val="00487D88"/>
    <w:rsid w:val="00487DE0"/>
    <w:rsid w:val="00490485"/>
    <w:rsid w:val="00490A1F"/>
    <w:rsid w:val="00490BF9"/>
    <w:rsid w:val="00490F19"/>
    <w:rsid w:val="00490F8F"/>
    <w:rsid w:val="0049131B"/>
    <w:rsid w:val="004916D0"/>
    <w:rsid w:val="00491854"/>
    <w:rsid w:val="0049186D"/>
    <w:rsid w:val="00491AE9"/>
    <w:rsid w:val="00491BFD"/>
    <w:rsid w:val="00491CB2"/>
    <w:rsid w:val="00492F82"/>
    <w:rsid w:val="004935C4"/>
    <w:rsid w:val="00493A9F"/>
    <w:rsid w:val="00493CE0"/>
    <w:rsid w:val="00493CFC"/>
    <w:rsid w:val="00493D48"/>
    <w:rsid w:val="004943FC"/>
    <w:rsid w:val="00494F8B"/>
    <w:rsid w:val="004954EC"/>
    <w:rsid w:val="00495DF6"/>
    <w:rsid w:val="00495E80"/>
    <w:rsid w:val="004961EE"/>
    <w:rsid w:val="0049636E"/>
    <w:rsid w:val="00496DEA"/>
    <w:rsid w:val="0049711C"/>
    <w:rsid w:val="004972DD"/>
    <w:rsid w:val="00497590"/>
    <w:rsid w:val="00497F69"/>
    <w:rsid w:val="004A06B8"/>
    <w:rsid w:val="004A0804"/>
    <w:rsid w:val="004A0B8E"/>
    <w:rsid w:val="004A0DE9"/>
    <w:rsid w:val="004A113B"/>
    <w:rsid w:val="004A12E1"/>
    <w:rsid w:val="004A2383"/>
    <w:rsid w:val="004A25B8"/>
    <w:rsid w:val="004A2616"/>
    <w:rsid w:val="004A2FB3"/>
    <w:rsid w:val="004A3566"/>
    <w:rsid w:val="004A3B17"/>
    <w:rsid w:val="004A3BEF"/>
    <w:rsid w:val="004A4204"/>
    <w:rsid w:val="004A4230"/>
    <w:rsid w:val="004A50F0"/>
    <w:rsid w:val="004A57B7"/>
    <w:rsid w:val="004A5860"/>
    <w:rsid w:val="004A5979"/>
    <w:rsid w:val="004A5D94"/>
    <w:rsid w:val="004A681F"/>
    <w:rsid w:val="004A6F7D"/>
    <w:rsid w:val="004A7806"/>
    <w:rsid w:val="004A7B5E"/>
    <w:rsid w:val="004A7E45"/>
    <w:rsid w:val="004B013F"/>
    <w:rsid w:val="004B04EF"/>
    <w:rsid w:val="004B0845"/>
    <w:rsid w:val="004B0A22"/>
    <w:rsid w:val="004B0FE8"/>
    <w:rsid w:val="004B1025"/>
    <w:rsid w:val="004B16EC"/>
    <w:rsid w:val="004B2414"/>
    <w:rsid w:val="004B2636"/>
    <w:rsid w:val="004B27E3"/>
    <w:rsid w:val="004B2C6B"/>
    <w:rsid w:val="004B3369"/>
    <w:rsid w:val="004B36A5"/>
    <w:rsid w:val="004B3A4C"/>
    <w:rsid w:val="004B3BE3"/>
    <w:rsid w:val="004B4406"/>
    <w:rsid w:val="004B4E4D"/>
    <w:rsid w:val="004B4EB4"/>
    <w:rsid w:val="004B5373"/>
    <w:rsid w:val="004B5392"/>
    <w:rsid w:val="004B5DBB"/>
    <w:rsid w:val="004B650A"/>
    <w:rsid w:val="004B745C"/>
    <w:rsid w:val="004B77DD"/>
    <w:rsid w:val="004B7870"/>
    <w:rsid w:val="004B7A7F"/>
    <w:rsid w:val="004B7B62"/>
    <w:rsid w:val="004C0265"/>
    <w:rsid w:val="004C0A0C"/>
    <w:rsid w:val="004C0B77"/>
    <w:rsid w:val="004C0BFA"/>
    <w:rsid w:val="004C0C51"/>
    <w:rsid w:val="004C0CAE"/>
    <w:rsid w:val="004C14BA"/>
    <w:rsid w:val="004C1A98"/>
    <w:rsid w:val="004C22CA"/>
    <w:rsid w:val="004C24CA"/>
    <w:rsid w:val="004C24E3"/>
    <w:rsid w:val="004C29AB"/>
    <w:rsid w:val="004C2DF1"/>
    <w:rsid w:val="004C3175"/>
    <w:rsid w:val="004C337F"/>
    <w:rsid w:val="004C366F"/>
    <w:rsid w:val="004C3B4D"/>
    <w:rsid w:val="004C3E8B"/>
    <w:rsid w:val="004C4077"/>
    <w:rsid w:val="004C43FB"/>
    <w:rsid w:val="004C47EF"/>
    <w:rsid w:val="004C486A"/>
    <w:rsid w:val="004C5813"/>
    <w:rsid w:val="004C5A7E"/>
    <w:rsid w:val="004C5A92"/>
    <w:rsid w:val="004C5C3E"/>
    <w:rsid w:val="004C61E1"/>
    <w:rsid w:val="004C6CCD"/>
    <w:rsid w:val="004C794B"/>
    <w:rsid w:val="004D0096"/>
    <w:rsid w:val="004D05E7"/>
    <w:rsid w:val="004D0BE9"/>
    <w:rsid w:val="004D0BEB"/>
    <w:rsid w:val="004D0C94"/>
    <w:rsid w:val="004D0E56"/>
    <w:rsid w:val="004D11F9"/>
    <w:rsid w:val="004D1D86"/>
    <w:rsid w:val="004D1D8A"/>
    <w:rsid w:val="004D2C77"/>
    <w:rsid w:val="004D2D35"/>
    <w:rsid w:val="004D3820"/>
    <w:rsid w:val="004D3B5C"/>
    <w:rsid w:val="004D3F30"/>
    <w:rsid w:val="004D4D1A"/>
    <w:rsid w:val="004D5005"/>
    <w:rsid w:val="004D5632"/>
    <w:rsid w:val="004D5B2F"/>
    <w:rsid w:val="004D5F8A"/>
    <w:rsid w:val="004D5FCE"/>
    <w:rsid w:val="004D6546"/>
    <w:rsid w:val="004D66D1"/>
    <w:rsid w:val="004D68C7"/>
    <w:rsid w:val="004D6F3F"/>
    <w:rsid w:val="004D775D"/>
    <w:rsid w:val="004D78EA"/>
    <w:rsid w:val="004E011A"/>
    <w:rsid w:val="004E01A8"/>
    <w:rsid w:val="004E136A"/>
    <w:rsid w:val="004E1518"/>
    <w:rsid w:val="004E1E25"/>
    <w:rsid w:val="004E2036"/>
    <w:rsid w:val="004E2287"/>
    <w:rsid w:val="004E2542"/>
    <w:rsid w:val="004E373E"/>
    <w:rsid w:val="004E419D"/>
    <w:rsid w:val="004E458B"/>
    <w:rsid w:val="004E46FB"/>
    <w:rsid w:val="004E482F"/>
    <w:rsid w:val="004E78A9"/>
    <w:rsid w:val="004E7B2D"/>
    <w:rsid w:val="004E7B4B"/>
    <w:rsid w:val="004E7C60"/>
    <w:rsid w:val="004E7D6F"/>
    <w:rsid w:val="004F0036"/>
    <w:rsid w:val="004F003E"/>
    <w:rsid w:val="004F0074"/>
    <w:rsid w:val="004F0170"/>
    <w:rsid w:val="004F04F1"/>
    <w:rsid w:val="004F0AC6"/>
    <w:rsid w:val="004F0B62"/>
    <w:rsid w:val="004F0FA6"/>
    <w:rsid w:val="004F11C2"/>
    <w:rsid w:val="004F137F"/>
    <w:rsid w:val="004F1700"/>
    <w:rsid w:val="004F1C2A"/>
    <w:rsid w:val="004F220D"/>
    <w:rsid w:val="004F2E31"/>
    <w:rsid w:val="004F36C3"/>
    <w:rsid w:val="004F36DA"/>
    <w:rsid w:val="004F3CD6"/>
    <w:rsid w:val="004F3D39"/>
    <w:rsid w:val="004F3E52"/>
    <w:rsid w:val="004F404B"/>
    <w:rsid w:val="004F41C0"/>
    <w:rsid w:val="004F4749"/>
    <w:rsid w:val="004F4C47"/>
    <w:rsid w:val="004F5216"/>
    <w:rsid w:val="004F536B"/>
    <w:rsid w:val="004F578B"/>
    <w:rsid w:val="004F5CA5"/>
    <w:rsid w:val="004F68D7"/>
    <w:rsid w:val="004F69A7"/>
    <w:rsid w:val="004F6AD7"/>
    <w:rsid w:val="004F70B3"/>
    <w:rsid w:val="004F71A4"/>
    <w:rsid w:val="004F73B9"/>
    <w:rsid w:val="004F742B"/>
    <w:rsid w:val="004F7CDC"/>
    <w:rsid w:val="004F7D53"/>
    <w:rsid w:val="0050053D"/>
    <w:rsid w:val="0050129B"/>
    <w:rsid w:val="00501402"/>
    <w:rsid w:val="0050195C"/>
    <w:rsid w:val="00501B07"/>
    <w:rsid w:val="00501BE1"/>
    <w:rsid w:val="00501D81"/>
    <w:rsid w:val="0050256B"/>
    <w:rsid w:val="00502751"/>
    <w:rsid w:val="00502C22"/>
    <w:rsid w:val="005038E1"/>
    <w:rsid w:val="005044EE"/>
    <w:rsid w:val="005047AC"/>
    <w:rsid w:val="00504EAD"/>
    <w:rsid w:val="00504F61"/>
    <w:rsid w:val="0050511B"/>
    <w:rsid w:val="00505155"/>
    <w:rsid w:val="00505A71"/>
    <w:rsid w:val="00505D84"/>
    <w:rsid w:val="00505E8E"/>
    <w:rsid w:val="005065D3"/>
    <w:rsid w:val="0050688B"/>
    <w:rsid w:val="00506AAC"/>
    <w:rsid w:val="00506AFD"/>
    <w:rsid w:val="00506C3A"/>
    <w:rsid w:val="00506D8D"/>
    <w:rsid w:val="00506DE1"/>
    <w:rsid w:val="00506DF3"/>
    <w:rsid w:val="005073B6"/>
    <w:rsid w:val="0050771B"/>
    <w:rsid w:val="00507E02"/>
    <w:rsid w:val="005100B8"/>
    <w:rsid w:val="00510782"/>
    <w:rsid w:val="00510EF9"/>
    <w:rsid w:val="00510FBF"/>
    <w:rsid w:val="005115D1"/>
    <w:rsid w:val="00511676"/>
    <w:rsid w:val="00511925"/>
    <w:rsid w:val="005122A6"/>
    <w:rsid w:val="005127EA"/>
    <w:rsid w:val="00512AF1"/>
    <w:rsid w:val="00512D30"/>
    <w:rsid w:val="00512D79"/>
    <w:rsid w:val="0051309C"/>
    <w:rsid w:val="005130FA"/>
    <w:rsid w:val="00513173"/>
    <w:rsid w:val="0051327F"/>
    <w:rsid w:val="0051381B"/>
    <w:rsid w:val="00513B4E"/>
    <w:rsid w:val="00513D13"/>
    <w:rsid w:val="00514017"/>
    <w:rsid w:val="005146CA"/>
    <w:rsid w:val="00515492"/>
    <w:rsid w:val="00516035"/>
    <w:rsid w:val="00516238"/>
    <w:rsid w:val="00516D3E"/>
    <w:rsid w:val="0051737B"/>
    <w:rsid w:val="005179FF"/>
    <w:rsid w:val="005203B2"/>
    <w:rsid w:val="00520425"/>
    <w:rsid w:val="005208E2"/>
    <w:rsid w:val="005210BE"/>
    <w:rsid w:val="0052170A"/>
    <w:rsid w:val="00521843"/>
    <w:rsid w:val="00521B4B"/>
    <w:rsid w:val="00521C71"/>
    <w:rsid w:val="00521EF5"/>
    <w:rsid w:val="0052252B"/>
    <w:rsid w:val="005227F8"/>
    <w:rsid w:val="005237E6"/>
    <w:rsid w:val="00523808"/>
    <w:rsid w:val="005239DF"/>
    <w:rsid w:val="00523A33"/>
    <w:rsid w:val="00524222"/>
    <w:rsid w:val="00524D3F"/>
    <w:rsid w:val="0052500C"/>
    <w:rsid w:val="00525441"/>
    <w:rsid w:val="005255DB"/>
    <w:rsid w:val="00525A2D"/>
    <w:rsid w:val="00525EA0"/>
    <w:rsid w:val="00525F44"/>
    <w:rsid w:val="0052613B"/>
    <w:rsid w:val="005268AA"/>
    <w:rsid w:val="005269D2"/>
    <w:rsid w:val="00526BE2"/>
    <w:rsid w:val="00526D37"/>
    <w:rsid w:val="00526FF6"/>
    <w:rsid w:val="0052704E"/>
    <w:rsid w:val="00527586"/>
    <w:rsid w:val="00527C33"/>
    <w:rsid w:val="00527D60"/>
    <w:rsid w:val="00530638"/>
    <w:rsid w:val="00530C83"/>
    <w:rsid w:val="00530E42"/>
    <w:rsid w:val="00531E7A"/>
    <w:rsid w:val="005320BF"/>
    <w:rsid w:val="00532104"/>
    <w:rsid w:val="00532161"/>
    <w:rsid w:val="005327C7"/>
    <w:rsid w:val="00532BE7"/>
    <w:rsid w:val="005336C6"/>
    <w:rsid w:val="00533915"/>
    <w:rsid w:val="00534213"/>
    <w:rsid w:val="00534299"/>
    <w:rsid w:val="00534844"/>
    <w:rsid w:val="00534AD6"/>
    <w:rsid w:val="00534BC5"/>
    <w:rsid w:val="00534D27"/>
    <w:rsid w:val="00534DD8"/>
    <w:rsid w:val="00534EE6"/>
    <w:rsid w:val="00535DFF"/>
    <w:rsid w:val="00535E1A"/>
    <w:rsid w:val="00535E1D"/>
    <w:rsid w:val="005362E1"/>
    <w:rsid w:val="00536408"/>
    <w:rsid w:val="005364EA"/>
    <w:rsid w:val="0053656F"/>
    <w:rsid w:val="005369F3"/>
    <w:rsid w:val="00536B5B"/>
    <w:rsid w:val="00537392"/>
    <w:rsid w:val="00540065"/>
    <w:rsid w:val="005402D0"/>
    <w:rsid w:val="00540B23"/>
    <w:rsid w:val="00540CB3"/>
    <w:rsid w:val="00540DF7"/>
    <w:rsid w:val="00541CCB"/>
    <w:rsid w:val="00541FC5"/>
    <w:rsid w:val="00542492"/>
    <w:rsid w:val="0054249F"/>
    <w:rsid w:val="005426AC"/>
    <w:rsid w:val="00542A42"/>
    <w:rsid w:val="0054300B"/>
    <w:rsid w:val="005431F1"/>
    <w:rsid w:val="00543CF5"/>
    <w:rsid w:val="00543D69"/>
    <w:rsid w:val="00543E1A"/>
    <w:rsid w:val="00544AED"/>
    <w:rsid w:val="00547076"/>
    <w:rsid w:val="005473AB"/>
    <w:rsid w:val="00547510"/>
    <w:rsid w:val="00547554"/>
    <w:rsid w:val="005501F1"/>
    <w:rsid w:val="005514EE"/>
    <w:rsid w:val="00551AEC"/>
    <w:rsid w:val="00551F44"/>
    <w:rsid w:val="00552260"/>
    <w:rsid w:val="0055250E"/>
    <w:rsid w:val="005525C8"/>
    <w:rsid w:val="00552835"/>
    <w:rsid w:val="005528B7"/>
    <w:rsid w:val="00552BD4"/>
    <w:rsid w:val="005532B2"/>
    <w:rsid w:val="00553331"/>
    <w:rsid w:val="005535DB"/>
    <w:rsid w:val="0055406F"/>
    <w:rsid w:val="0055415A"/>
    <w:rsid w:val="0055440E"/>
    <w:rsid w:val="00554461"/>
    <w:rsid w:val="0055450A"/>
    <w:rsid w:val="00554E86"/>
    <w:rsid w:val="00554EB9"/>
    <w:rsid w:val="00555446"/>
    <w:rsid w:val="00555CDC"/>
    <w:rsid w:val="00555E92"/>
    <w:rsid w:val="00556769"/>
    <w:rsid w:val="00556BF6"/>
    <w:rsid w:val="00557337"/>
    <w:rsid w:val="005574C4"/>
    <w:rsid w:val="00557878"/>
    <w:rsid w:val="005604D9"/>
    <w:rsid w:val="005607C8"/>
    <w:rsid w:val="00560C65"/>
    <w:rsid w:val="00560D30"/>
    <w:rsid w:val="005611ED"/>
    <w:rsid w:val="005613CC"/>
    <w:rsid w:val="005613F7"/>
    <w:rsid w:val="0056255F"/>
    <w:rsid w:val="00562761"/>
    <w:rsid w:val="00562ABD"/>
    <w:rsid w:val="0056314B"/>
    <w:rsid w:val="005631BC"/>
    <w:rsid w:val="00563543"/>
    <w:rsid w:val="00563743"/>
    <w:rsid w:val="00563FB2"/>
    <w:rsid w:val="00564ABE"/>
    <w:rsid w:val="00564AF7"/>
    <w:rsid w:val="00565029"/>
    <w:rsid w:val="00565781"/>
    <w:rsid w:val="00565D4F"/>
    <w:rsid w:val="005660CE"/>
    <w:rsid w:val="00566456"/>
    <w:rsid w:val="005667EB"/>
    <w:rsid w:val="0056697A"/>
    <w:rsid w:val="00566A30"/>
    <w:rsid w:val="00566C99"/>
    <w:rsid w:val="00567016"/>
    <w:rsid w:val="005672AC"/>
    <w:rsid w:val="00567E52"/>
    <w:rsid w:val="00570073"/>
    <w:rsid w:val="0057015B"/>
    <w:rsid w:val="00570315"/>
    <w:rsid w:val="0057038B"/>
    <w:rsid w:val="0057042C"/>
    <w:rsid w:val="00570495"/>
    <w:rsid w:val="00570A1A"/>
    <w:rsid w:val="00570ABF"/>
    <w:rsid w:val="00570E22"/>
    <w:rsid w:val="00571305"/>
    <w:rsid w:val="0057183C"/>
    <w:rsid w:val="005719A1"/>
    <w:rsid w:val="00571B87"/>
    <w:rsid w:val="00571C89"/>
    <w:rsid w:val="00571D0E"/>
    <w:rsid w:val="00571D60"/>
    <w:rsid w:val="00571F51"/>
    <w:rsid w:val="00571FBE"/>
    <w:rsid w:val="00571FD1"/>
    <w:rsid w:val="005722C5"/>
    <w:rsid w:val="00572312"/>
    <w:rsid w:val="00572C27"/>
    <w:rsid w:val="0057318C"/>
    <w:rsid w:val="00573DE2"/>
    <w:rsid w:val="005751A1"/>
    <w:rsid w:val="005765D2"/>
    <w:rsid w:val="00576667"/>
    <w:rsid w:val="00576BC5"/>
    <w:rsid w:val="00576D62"/>
    <w:rsid w:val="00576FA2"/>
    <w:rsid w:val="005770B9"/>
    <w:rsid w:val="0057737D"/>
    <w:rsid w:val="00577F5F"/>
    <w:rsid w:val="00580101"/>
    <w:rsid w:val="00580399"/>
    <w:rsid w:val="00580423"/>
    <w:rsid w:val="00580DC2"/>
    <w:rsid w:val="00580E98"/>
    <w:rsid w:val="005816B6"/>
    <w:rsid w:val="0058214C"/>
    <w:rsid w:val="00582186"/>
    <w:rsid w:val="005828D4"/>
    <w:rsid w:val="00582C96"/>
    <w:rsid w:val="00582D62"/>
    <w:rsid w:val="00582F69"/>
    <w:rsid w:val="00583516"/>
    <w:rsid w:val="00583DDD"/>
    <w:rsid w:val="0058457E"/>
    <w:rsid w:val="005847A7"/>
    <w:rsid w:val="00584981"/>
    <w:rsid w:val="00584F61"/>
    <w:rsid w:val="005854A8"/>
    <w:rsid w:val="0058573D"/>
    <w:rsid w:val="00585B28"/>
    <w:rsid w:val="00585F5F"/>
    <w:rsid w:val="00586520"/>
    <w:rsid w:val="00587A94"/>
    <w:rsid w:val="00587F34"/>
    <w:rsid w:val="00590396"/>
    <w:rsid w:val="0059039A"/>
    <w:rsid w:val="00590A8D"/>
    <w:rsid w:val="00590AAA"/>
    <w:rsid w:val="00590DD9"/>
    <w:rsid w:val="00591461"/>
    <w:rsid w:val="00592048"/>
    <w:rsid w:val="005920D2"/>
    <w:rsid w:val="00592320"/>
    <w:rsid w:val="00592347"/>
    <w:rsid w:val="005928C3"/>
    <w:rsid w:val="005929E9"/>
    <w:rsid w:val="005935BA"/>
    <w:rsid w:val="00593892"/>
    <w:rsid w:val="00593C0F"/>
    <w:rsid w:val="00593D4C"/>
    <w:rsid w:val="005945D4"/>
    <w:rsid w:val="005946F6"/>
    <w:rsid w:val="0059533B"/>
    <w:rsid w:val="00595B66"/>
    <w:rsid w:val="00595FD1"/>
    <w:rsid w:val="005963E2"/>
    <w:rsid w:val="005966B0"/>
    <w:rsid w:val="00596ACF"/>
    <w:rsid w:val="005972B9"/>
    <w:rsid w:val="0059736C"/>
    <w:rsid w:val="00597597"/>
    <w:rsid w:val="00597822"/>
    <w:rsid w:val="00597FB0"/>
    <w:rsid w:val="005A01CD"/>
    <w:rsid w:val="005A0475"/>
    <w:rsid w:val="005A07F3"/>
    <w:rsid w:val="005A0929"/>
    <w:rsid w:val="005A1C00"/>
    <w:rsid w:val="005A2033"/>
    <w:rsid w:val="005A2255"/>
    <w:rsid w:val="005A23B9"/>
    <w:rsid w:val="005A23D0"/>
    <w:rsid w:val="005A255D"/>
    <w:rsid w:val="005A330D"/>
    <w:rsid w:val="005A3455"/>
    <w:rsid w:val="005A35D0"/>
    <w:rsid w:val="005A408C"/>
    <w:rsid w:val="005A4511"/>
    <w:rsid w:val="005A4D3A"/>
    <w:rsid w:val="005A5D5C"/>
    <w:rsid w:val="005A5F73"/>
    <w:rsid w:val="005A6B34"/>
    <w:rsid w:val="005A6BAE"/>
    <w:rsid w:val="005A724B"/>
    <w:rsid w:val="005A753A"/>
    <w:rsid w:val="005A7CE2"/>
    <w:rsid w:val="005A7EEA"/>
    <w:rsid w:val="005B0603"/>
    <w:rsid w:val="005B0857"/>
    <w:rsid w:val="005B0C77"/>
    <w:rsid w:val="005B0F69"/>
    <w:rsid w:val="005B195F"/>
    <w:rsid w:val="005B1C96"/>
    <w:rsid w:val="005B30E9"/>
    <w:rsid w:val="005B3873"/>
    <w:rsid w:val="005B3B13"/>
    <w:rsid w:val="005B3CE1"/>
    <w:rsid w:val="005B443E"/>
    <w:rsid w:val="005B4812"/>
    <w:rsid w:val="005B4BAF"/>
    <w:rsid w:val="005B4F30"/>
    <w:rsid w:val="005B4F83"/>
    <w:rsid w:val="005B542F"/>
    <w:rsid w:val="005B56D2"/>
    <w:rsid w:val="005B58C3"/>
    <w:rsid w:val="005B5A3A"/>
    <w:rsid w:val="005B5C95"/>
    <w:rsid w:val="005B5FC1"/>
    <w:rsid w:val="005B6890"/>
    <w:rsid w:val="005B68B5"/>
    <w:rsid w:val="005B6C98"/>
    <w:rsid w:val="005B6D72"/>
    <w:rsid w:val="005B6FFB"/>
    <w:rsid w:val="005B7086"/>
    <w:rsid w:val="005B71B9"/>
    <w:rsid w:val="005B72AB"/>
    <w:rsid w:val="005B76B7"/>
    <w:rsid w:val="005B79E0"/>
    <w:rsid w:val="005B7A47"/>
    <w:rsid w:val="005B7AD6"/>
    <w:rsid w:val="005B7BAF"/>
    <w:rsid w:val="005B7EF3"/>
    <w:rsid w:val="005C01CA"/>
    <w:rsid w:val="005C0326"/>
    <w:rsid w:val="005C0397"/>
    <w:rsid w:val="005C08A0"/>
    <w:rsid w:val="005C0CF9"/>
    <w:rsid w:val="005C0E07"/>
    <w:rsid w:val="005C10B6"/>
    <w:rsid w:val="005C1B66"/>
    <w:rsid w:val="005C1CB9"/>
    <w:rsid w:val="005C1DC4"/>
    <w:rsid w:val="005C213F"/>
    <w:rsid w:val="005C2B08"/>
    <w:rsid w:val="005C33F9"/>
    <w:rsid w:val="005C3BBD"/>
    <w:rsid w:val="005C40C4"/>
    <w:rsid w:val="005C42F6"/>
    <w:rsid w:val="005C458F"/>
    <w:rsid w:val="005C4638"/>
    <w:rsid w:val="005C4F84"/>
    <w:rsid w:val="005C55F3"/>
    <w:rsid w:val="005C5DE0"/>
    <w:rsid w:val="005C600C"/>
    <w:rsid w:val="005C61D2"/>
    <w:rsid w:val="005C6364"/>
    <w:rsid w:val="005C668E"/>
    <w:rsid w:val="005C674E"/>
    <w:rsid w:val="005C67D3"/>
    <w:rsid w:val="005C6E5B"/>
    <w:rsid w:val="005C761F"/>
    <w:rsid w:val="005D05F7"/>
    <w:rsid w:val="005D1020"/>
    <w:rsid w:val="005D12C8"/>
    <w:rsid w:val="005D149D"/>
    <w:rsid w:val="005D1607"/>
    <w:rsid w:val="005D1953"/>
    <w:rsid w:val="005D1EC7"/>
    <w:rsid w:val="005D230E"/>
    <w:rsid w:val="005D28D1"/>
    <w:rsid w:val="005D2ADC"/>
    <w:rsid w:val="005D2E10"/>
    <w:rsid w:val="005D2EC9"/>
    <w:rsid w:val="005D3484"/>
    <w:rsid w:val="005D3AFC"/>
    <w:rsid w:val="005D3E42"/>
    <w:rsid w:val="005D3F14"/>
    <w:rsid w:val="005D4357"/>
    <w:rsid w:val="005D47F6"/>
    <w:rsid w:val="005D48B1"/>
    <w:rsid w:val="005D4B1C"/>
    <w:rsid w:val="005D4CCE"/>
    <w:rsid w:val="005D4E47"/>
    <w:rsid w:val="005D540C"/>
    <w:rsid w:val="005D5BD5"/>
    <w:rsid w:val="005D5EC4"/>
    <w:rsid w:val="005D5FBC"/>
    <w:rsid w:val="005D6201"/>
    <w:rsid w:val="005D6229"/>
    <w:rsid w:val="005D62F4"/>
    <w:rsid w:val="005D64BD"/>
    <w:rsid w:val="005D654D"/>
    <w:rsid w:val="005D65A7"/>
    <w:rsid w:val="005D6637"/>
    <w:rsid w:val="005D66C6"/>
    <w:rsid w:val="005D6A9D"/>
    <w:rsid w:val="005D6D7B"/>
    <w:rsid w:val="005D6F49"/>
    <w:rsid w:val="005D6FEF"/>
    <w:rsid w:val="005D70A1"/>
    <w:rsid w:val="005D72BC"/>
    <w:rsid w:val="005D7DB1"/>
    <w:rsid w:val="005E002A"/>
    <w:rsid w:val="005E004C"/>
    <w:rsid w:val="005E10BB"/>
    <w:rsid w:val="005E1221"/>
    <w:rsid w:val="005E1BCC"/>
    <w:rsid w:val="005E2539"/>
    <w:rsid w:val="005E2831"/>
    <w:rsid w:val="005E2C44"/>
    <w:rsid w:val="005E2CDE"/>
    <w:rsid w:val="005E2D02"/>
    <w:rsid w:val="005E3098"/>
    <w:rsid w:val="005E31F3"/>
    <w:rsid w:val="005E331D"/>
    <w:rsid w:val="005E3420"/>
    <w:rsid w:val="005E35E6"/>
    <w:rsid w:val="005E3608"/>
    <w:rsid w:val="005E37A4"/>
    <w:rsid w:val="005E4289"/>
    <w:rsid w:val="005E495A"/>
    <w:rsid w:val="005E4D3A"/>
    <w:rsid w:val="005E5088"/>
    <w:rsid w:val="005E5155"/>
    <w:rsid w:val="005E524F"/>
    <w:rsid w:val="005E545E"/>
    <w:rsid w:val="005E54CE"/>
    <w:rsid w:val="005E5DC7"/>
    <w:rsid w:val="005E5EA8"/>
    <w:rsid w:val="005E65FB"/>
    <w:rsid w:val="005E6994"/>
    <w:rsid w:val="005E69BC"/>
    <w:rsid w:val="005E75A2"/>
    <w:rsid w:val="005E7724"/>
    <w:rsid w:val="005E7CBA"/>
    <w:rsid w:val="005E7D18"/>
    <w:rsid w:val="005E7F83"/>
    <w:rsid w:val="005F01B5"/>
    <w:rsid w:val="005F02B3"/>
    <w:rsid w:val="005F061C"/>
    <w:rsid w:val="005F06B2"/>
    <w:rsid w:val="005F0715"/>
    <w:rsid w:val="005F0CFB"/>
    <w:rsid w:val="005F1091"/>
    <w:rsid w:val="005F1375"/>
    <w:rsid w:val="005F1720"/>
    <w:rsid w:val="005F1A64"/>
    <w:rsid w:val="005F281A"/>
    <w:rsid w:val="005F2C73"/>
    <w:rsid w:val="005F3774"/>
    <w:rsid w:val="005F3E21"/>
    <w:rsid w:val="005F43B6"/>
    <w:rsid w:val="005F47B0"/>
    <w:rsid w:val="005F5166"/>
    <w:rsid w:val="005F5486"/>
    <w:rsid w:val="005F569B"/>
    <w:rsid w:val="005F57C8"/>
    <w:rsid w:val="005F5E9B"/>
    <w:rsid w:val="005F60CE"/>
    <w:rsid w:val="005F632A"/>
    <w:rsid w:val="005F74B8"/>
    <w:rsid w:val="005F74FB"/>
    <w:rsid w:val="005F7AE9"/>
    <w:rsid w:val="005F7AF7"/>
    <w:rsid w:val="005F7BB6"/>
    <w:rsid w:val="005F7E66"/>
    <w:rsid w:val="005F7F90"/>
    <w:rsid w:val="00600530"/>
    <w:rsid w:val="00600713"/>
    <w:rsid w:val="006009B5"/>
    <w:rsid w:val="00600A39"/>
    <w:rsid w:val="00600D63"/>
    <w:rsid w:val="0060117F"/>
    <w:rsid w:val="00601185"/>
    <w:rsid w:val="00601204"/>
    <w:rsid w:val="00601370"/>
    <w:rsid w:val="006014C4"/>
    <w:rsid w:val="00601615"/>
    <w:rsid w:val="00601D10"/>
    <w:rsid w:val="00602386"/>
    <w:rsid w:val="00602713"/>
    <w:rsid w:val="006028B1"/>
    <w:rsid w:val="00602CB6"/>
    <w:rsid w:val="0060303D"/>
    <w:rsid w:val="0060318D"/>
    <w:rsid w:val="00603769"/>
    <w:rsid w:val="006038A0"/>
    <w:rsid w:val="0060391B"/>
    <w:rsid w:val="006039EB"/>
    <w:rsid w:val="00603DC3"/>
    <w:rsid w:val="00604666"/>
    <w:rsid w:val="006047A7"/>
    <w:rsid w:val="00604B06"/>
    <w:rsid w:val="00605C42"/>
    <w:rsid w:val="00605C9C"/>
    <w:rsid w:val="00606234"/>
    <w:rsid w:val="006069CD"/>
    <w:rsid w:val="00606A6C"/>
    <w:rsid w:val="00606BA9"/>
    <w:rsid w:val="00606CB4"/>
    <w:rsid w:val="00606DFC"/>
    <w:rsid w:val="0060782B"/>
    <w:rsid w:val="00607B9A"/>
    <w:rsid w:val="00607D16"/>
    <w:rsid w:val="00607D28"/>
    <w:rsid w:val="006121D4"/>
    <w:rsid w:val="006121E7"/>
    <w:rsid w:val="0061224A"/>
    <w:rsid w:val="00612CBD"/>
    <w:rsid w:val="00612EFA"/>
    <w:rsid w:val="00613283"/>
    <w:rsid w:val="006136A7"/>
    <w:rsid w:val="00613989"/>
    <w:rsid w:val="0061403C"/>
    <w:rsid w:val="0061406D"/>
    <w:rsid w:val="00614722"/>
    <w:rsid w:val="00615398"/>
    <w:rsid w:val="006158CD"/>
    <w:rsid w:val="00615C8C"/>
    <w:rsid w:val="006161E7"/>
    <w:rsid w:val="00616577"/>
    <w:rsid w:val="006167D9"/>
    <w:rsid w:val="00617B44"/>
    <w:rsid w:val="00617E64"/>
    <w:rsid w:val="00620126"/>
    <w:rsid w:val="00620466"/>
    <w:rsid w:val="00620F5F"/>
    <w:rsid w:val="006217B3"/>
    <w:rsid w:val="006219F7"/>
    <w:rsid w:val="00621DCB"/>
    <w:rsid w:val="00621F46"/>
    <w:rsid w:val="00622233"/>
    <w:rsid w:val="006227D9"/>
    <w:rsid w:val="00622A1A"/>
    <w:rsid w:val="00622B30"/>
    <w:rsid w:val="00622C23"/>
    <w:rsid w:val="00622DFA"/>
    <w:rsid w:val="00623282"/>
    <w:rsid w:val="00623409"/>
    <w:rsid w:val="006234B2"/>
    <w:rsid w:val="006234F8"/>
    <w:rsid w:val="00623995"/>
    <w:rsid w:val="00623CEB"/>
    <w:rsid w:val="006241F7"/>
    <w:rsid w:val="00624513"/>
    <w:rsid w:val="00624602"/>
    <w:rsid w:val="00624658"/>
    <w:rsid w:val="006247C3"/>
    <w:rsid w:val="006248B7"/>
    <w:rsid w:val="00624B7D"/>
    <w:rsid w:val="00624C24"/>
    <w:rsid w:val="00624DDD"/>
    <w:rsid w:val="00624E55"/>
    <w:rsid w:val="006255CF"/>
    <w:rsid w:val="00625796"/>
    <w:rsid w:val="0062579D"/>
    <w:rsid w:val="00626765"/>
    <w:rsid w:val="006267AA"/>
    <w:rsid w:val="00626910"/>
    <w:rsid w:val="00626AB3"/>
    <w:rsid w:val="00627B57"/>
    <w:rsid w:val="00627F4C"/>
    <w:rsid w:val="00630408"/>
    <w:rsid w:val="0063067C"/>
    <w:rsid w:val="006309FA"/>
    <w:rsid w:val="0063113B"/>
    <w:rsid w:val="00632976"/>
    <w:rsid w:val="006329B0"/>
    <w:rsid w:val="00632D9D"/>
    <w:rsid w:val="00632FA7"/>
    <w:rsid w:val="006331F5"/>
    <w:rsid w:val="006333A5"/>
    <w:rsid w:val="00633496"/>
    <w:rsid w:val="0063388E"/>
    <w:rsid w:val="0063403B"/>
    <w:rsid w:val="00634150"/>
    <w:rsid w:val="00634EFD"/>
    <w:rsid w:val="0063517D"/>
    <w:rsid w:val="006352A3"/>
    <w:rsid w:val="00635317"/>
    <w:rsid w:val="0063566B"/>
    <w:rsid w:val="00636FC2"/>
    <w:rsid w:val="00637C52"/>
    <w:rsid w:val="006401F5"/>
    <w:rsid w:val="006403F1"/>
    <w:rsid w:val="00640785"/>
    <w:rsid w:val="00640A14"/>
    <w:rsid w:val="00641429"/>
    <w:rsid w:val="00641566"/>
    <w:rsid w:val="00641937"/>
    <w:rsid w:val="00641A6E"/>
    <w:rsid w:val="00641B5D"/>
    <w:rsid w:val="00641B7E"/>
    <w:rsid w:val="00641C90"/>
    <w:rsid w:val="0064236D"/>
    <w:rsid w:val="006428FD"/>
    <w:rsid w:val="00642A6A"/>
    <w:rsid w:val="00642D3D"/>
    <w:rsid w:val="00643693"/>
    <w:rsid w:val="00643D2C"/>
    <w:rsid w:val="0064430D"/>
    <w:rsid w:val="00644B3D"/>
    <w:rsid w:val="00645091"/>
    <w:rsid w:val="00645C2F"/>
    <w:rsid w:val="0064635F"/>
    <w:rsid w:val="0064665A"/>
    <w:rsid w:val="00646C64"/>
    <w:rsid w:val="00646C8B"/>
    <w:rsid w:val="00646D23"/>
    <w:rsid w:val="00646DF7"/>
    <w:rsid w:val="006471E1"/>
    <w:rsid w:val="006472F4"/>
    <w:rsid w:val="00647691"/>
    <w:rsid w:val="00647775"/>
    <w:rsid w:val="00647F16"/>
    <w:rsid w:val="006501D5"/>
    <w:rsid w:val="0065070B"/>
    <w:rsid w:val="00650CC3"/>
    <w:rsid w:val="00650CFA"/>
    <w:rsid w:val="00650E26"/>
    <w:rsid w:val="0065101A"/>
    <w:rsid w:val="0065191C"/>
    <w:rsid w:val="006519E7"/>
    <w:rsid w:val="0065236B"/>
    <w:rsid w:val="0065254C"/>
    <w:rsid w:val="00652B2C"/>
    <w:rsid w:val="00652D99"/>
    <w:rsid w:val="00652E03"/>
    <w:rsid w:val="006530C4"/>
    <w:rsid w:val="00653616"/>
    <w:rsid w:val="00653CFA"/>
    <w:rsid w:val="006546CA"/>
    <w:rsid w:val="0065483D"/>
    <w:rsid w:val="00654990"/>
    <w:rsid w:val="00654E1F"/>
    <w:rsid w:val="006551C7"/>
    <w:rsid w:val="0065536A"/>
    <w:rsid w:val="00655A9A"/>
    <w:rsid w:val="00655BC1"/>
    <w:rsid w:val="0065608A"/>
    <w:rsid w:val="006569D5"/>
    <w:rsid w:val="00656CB1"/>
    <w:rsid w:val="00656FD1"/>
    <w:rsid w:val="00657077"/>
    <w:rsid w:val="006577ED"/>
    <w:rsid w:val="006578D3"/>
    <w:rsid w:val="00657D1F"/>
    <w:rsid w:val="006600D5"/>
    <w:rsid w:val="00660132"/>
    <w:rsid w:val="00660366"/>
    <w:rsid w:val="006606FC"/>
    <w:rsid w:val="0066075F"/>
    <w:rsid w:val="0066090C"/>
    <w:rsid w:val="00660942"/>
    <w:rsid w:val="00660BCC"/>
    <w:rsid w:val="00660D3D"/>
    <w:rsid w:val="00660EE3"/>
    <w:rsid w:val="0066104E"/>
    <w:rsid w:val="00661A09"/>
    <w:rsid w:val="006620E6"/>
    <w:rsid w:val="0066236F"/>
    <w:rsid w:val="00662C6E"/>
    <w:rsid w:val="00662D55"/>
    <w:rsid w:val="00662ED5"/>
    <w:rsid w:val="00662F1A"/>
    <w:rsid w:val="006635F0"/>
    <w:rsid w:val="00663816"/>
    <w:rsid w:val="00663BBC"/>
    <w:rsid w:val="00663CB3"/>
    <w:rsid w:val="0066480B"/>
    <w:rsid w:val="006649D3"/>
    <w:rsid w:val="00665279"/>
    <w:rsid w:val="006657C6"/>
    <w:rsid w:val="00665825"/>
    <w:rsid w:val="00665E1C"/>
    <w:rsid w:val="00666059"/>
    <w:rsid w:val="00666174"/>
    <w:rsid w:val="0066698C"/>
    <w:rsid w:val="00666A73"/>
    <w:rsid w:val="00666C48"/>
    <w:rsid w:val="00666D0A"/>
    <w:rsid w:val="00666ED1"/>
    <w:rsid w:val="00667397"/>
    <w:rsid w:val="006673A4"/>
    <w:rsid w:val="00667E8B"/>
    <w:rsid w:val="00670476"/>
    <w:rsid w:val="00670B32"/>
    <w:rsid w:val="006712D4"/>
    <w:rsid w:val="0067136A"/>
    <w:rsid w:val="0067155F"/>
    <w:rsid w:val="006716C8"/>
    <w:rsid w:val="00671745"/>
    <w:rsid w:val="00671790"/>
    <w:rsid w:val="0067179B"/>
    <w:rsid w:val="00672378"/>
    <w:rsid w:val="006725BB"/>
    <w:rsid w:val="00672DDA"/>
    <w:rsid w:val="00672F38"/>
    <w:rsid w:val="00672FF2"/>
    <w:rsid w:val="00673B8E"/>
    <w:rsid w:val="00673FF4"/>
    <w:rsid w:val="00674366"/>
    <w:rsid w:val="006744A0"/>
    <w:rsid w:val="0067452E"/>
    <w:rsid w:val="00674964"/>
    <w:rsid w:val="00674A55"/>
    <w:rsid w:val="00674E69"/>
    <w:rsid w:val="0067561F"/>
    <w:rsid w:val="00675BBA"/>
    <w:rsid w:val="00675FFF"/>
    <w:rsid w:val="0067622A"/>
    <w:rsid w:val="00676665"/>
    <w:rsid w:val="006768B5"/>
    <w:rsid w:val="006774E7"/>
    <w:rsid w:val="006777BA"/>
    <w:rsid w:val="00677ABF"/>
    <w:rsid w:val="00680301"/>
    <w:rsid w:val="006804B6"/>
    <w:rsid w:val="006808D0"/>
    <w:rsid w:val="006810B0"/>
    <w:rsid w:val="00681632"/>
    <w:rsid w:val="006818F6"/>
    <w:rsid w:val="00681EFE"/>
    <w:rsid w:val="006821F6"/>
    <w:rsid w:val="006823AB"/>
    <w:rsid w:val="0068253F"/>
    <w:rsid w:val="00682698"/>
    <w:rsid w:val="0068287E"/>
    <w:rsid w:val="00682921"/>
    <w:rsid w:val="0068299C"/>
    <w:rsid w:val="00682D6E"/>
    <w:rsid w:val="00682F78"/>
    <w:rsid w:val="0068442A"/>
    <w:rsid w:val="006845E4"/>
    <w:rsid w:val="006846FD"/>
    <w:rsid w:val="00684AB4"/>
    <w:rsid w:val="00684EFD"/>
    <w:rsid w:val="00685993"/>
    <w:rsid w:val="00685AE6"/>
    <w:rsid w:val="006869B0"/>
    <w:rsid w:val="00687686"/>
    <w:rsid w:val="00687916"/>
    <w:rsid w:val="00687C4C"/>
    <w:rsid w:val="00687DE2"/>
    <w:rsid w:val="00687E3B"/>
    <w:rsid w:val="0069044D"/>
    <w:rsid w:val="006904EE"/>
    <w:rsid w:val="00690C4B"/>
    <w:rsid w:val="00690E04"/>
    <w:rsid w:val="00691131"/>
    <w:rsid w:val="00691DFE"/>
    <w:rsid w:val="00692D7A"/>
    <w:rsid w:val="00692E9E"/>
    <w:rsid w:val="00693111"/>
    <w:rsid w:val="006937DF"/>
    <w:rsid w:val="0069404C"/>
    <w:rsid w:val="00694184"/>
    <w:rsid w:val="006949D8"/>
    <w:rsid w:val="00694B38"/>
    <w:rsid w:val="00695F5C"/>
    <w:rsid w:val="006962F8"/>
    <w:rsid w:val="00696C8D"/>
    <w:rsid w:val="00697041"/>
    <w:rsid w:val="006971C4"/>
    <w:rsid w:val="00697312"/>
    <w:rsid w:val="00697442"/>
    <w:rsid w:val="006978D3"/>
    <w:rsid w:val="00697D58"/>
    <w:rsid w:val="006A03EA"/>
    <w:rsid w:val="006A0570"/>
    <w:rsid w:val="006A0D37"/>
    <w:rsid w:val="006A10A8"/>
    <w:rsid w:val="006A11B3"/>
    <w:rsid w:val="006A1381"/>
    <w:rsid w:val="006A150A"/>
    <w:rsid w:val="006A1717"/>
    <w:rsid w:val="006A19CC"/>
    <w:rsid w:val="006A20C0"/>
    <w:rsid w:val="006A2178"/>
    <w:rsid w:val="006A2830"/>
    <w:rsid w:val="006A307D"/>
    <w:rsid w:val="006A3090"/>
    <w:rsid w:val="006A329F"/>
    <w:rsid w:val="006A336A"/>
    <w:rsid w:val="006A336E"/>
    <w:rsid w:val="006A3D3C"/>
    <w:rsid w:val="006A5A27"/>
    <w:rsid w:val="006A5A30"/>
    <w:rsid w:val="006A5F08"/>
    <w:rsid w:val="006A6234"/>
    <w:rsid w:val="006A64A1"/>
    <w:rsid w:val="006A69FF"/>
    <w:rsid w:val="006A6B4A"/>
    <w:rsid w:val="006A6BB6"/>
    <w:rsid w:val="006A709F"/>
    <w:rsid w:val="006A71D5"/>
    <w:rsid w:val="006A728E"/>
    <w:rsid w:val="006A7373"/>
    <w:rsid w:val="006A7DF6"/>
    <w:rsid w:val="006A7EC9"/>
    <w:rsid w:val="006A7F3D"/>
    <w:rsid w:val="006A7FFC"/>
    <w:rsid w:val="006B05DC"/>
    <w:rsid w:val="006B0B3C"/>
    <w:rsid w:val="006B0D95"/>
    <w:rsid w:val="006B14CA"/>
    <w:rsid w:val="006B1691"/>
    <w:rsid w:val="006B1899"/>
    <w:rsid w:val="006B1BD7"/>
    <w:rsid w:val="006B2164"/>
    <w:rsid w:val="006B33DF"/>
    <w:rsid w:val="006B4062"/>
    <w:rsid w:val="006B4BE1"/>
    <w:rsid w:val="006B4CB5"/>
    <w:rsid w:val="006B51DD"/>
    <w:rsid w:val="006B5252"/>
    <w:rsid w:val="006B570C"/>
    <w:rsid w:val="006B5855"/>
    <w:rsid w:val="006B5AC6"/>
    <w:rsid w:val="006B5AD8"/>
    <w:rsid w:val="006B5B3E"/>
    <w:rsid w:val="006B6173"/>
    <w:rsid w:val="006B6196"/>
    <w:rsid w:val="006B66C8"/>
    <w:rsid w:val="006B66F4"/>
    <w:rsid w:val="006B67DC"/>
    <w:rsid w:val="006B6DBD"/>
    <w:rsid w:val="006B70E8"/>
    <w:rsid w:val="006B73E9"/>
    <w:rsid w:val="006B7C24"/>
    <w:rsid w:val="006B7CC5"/>
    <w:rsid w:val="006C083F"/>
    <w:rsid w:val="006C08F7"/>
    <w:rsid w:val="006C1643"/>
    <w:rsid w:val="006C1B25"/>
    <w:rsid w:val="006C1E70"/>
    <w:rsid w:val="006C271A"/>
    <w:rsid w:val="006C28B9"/>
    <w:rsid w:val="006C29E2"/>
    <w:rsid w:val="006C2A13"/>
    <w:rsid w:val="006C2DD1"/>
    <w:rsid w:val="006C374E"/>
    <w:rsid w:val="006C37CE"/>
    <w:rsid w:val="006C3ADB"/>
    <w:rsid w:val="006C3D34"/>
    <w:rsid w:val="006C4335"/>
    <w:rsid w:val="006C4634"/>
    <w:rsid w:val="006C4859"/>
    <w:rsid w:val="006C4D4A"/>
    <w:rsid w:val="006C5210"/>
    <w:rsid w:val="006C5D21"/>
    <w:rsid w:val="006C6038"/>
    <w:rsid w:val="006C66B7"/>
    <w:rsid w:val="006C6851"/>
    <w:rsid w:val="006C6A0E"/>
    <w:rsid w:val="006C6C3A"/>
    <w:rsid w:val="006C6FBF"/>
    <w:rsid w:val="006C6FFA"/>
    <w:rsid w:val="006C7488"/>
    <w:rsid w:val="006C79D3"/>
    <w:rsid w:val="006C7ADF"/>
    <w:rsid w:val="006C7D3D"/>
    <w:rsid w:val="006D0097"/>
    <w:rsid w:val="006D09B4"/>
    <w:rsid w:val="006D1382"/>
    <w:rsid w:val="006D151C"/>
    <w:rsid w:val="006D16A5"/>
    <w:rsid w:val="006D18BE"/>
    <w:rsid w:val="006D1A17"/>
    <w:rsid w:val="006D1C54"/>
    <w:rsid w:val="006D1CC9"/>
    <w:rsid w:val="006D1E5D"/>
    <w:rsid w:val="006D27D4"/>
    <w:rsid w:val="006D2BDC"/>
    <w:rsid w:val="006D388F"/>
    <w:rsid w:val="006D3DA2"/>
    <w:rsid w:val="006D3E30"/>
    <w:rsid w:val="006D41CA"/>
    <w:rsid w:val="006D4290"/>
    <w:rsid w:val="006D4C9F"/>
    <w:rsid w:val="006D4EC5"/>
    <w:rsid w:val="006D4F47"/>
    <w:rsid w:val="006D5CBD"/>
    <w:rsid w:val="006D5EFB"/>
    <w:rsid w:val="006D608E"/>
    <w:rsid w:val="006D60D8"/>
    <w:rsid w:val="006D6838"/>
    <w:rsid w:val="006D6A3F"/>
    <w:rsid w:val="006D6B5E"/>
    <w:rsid w:val="006D754E"/>
    <w:rsid w:val="006D7574"/>
    <w:rsid w:val="006D78E3"/>
    <w:rsid w:val="006D7A1C"/>
    <w:rsid w:val="006D7B50"/>
    <w:rsid w:val="006E004A"/>
    <w:rsid w:val="006E034F"/>
    <w:rsid w:val="006E101E"/>
    <w:rsid w:val="006E1089"/>
    <w:rsid w:val="006E165A"/>
    <w:rsid w:val="006E1D67"/>
    <w:rsid w:val="006E1E2C"/>
    <w:rsid w:val="006E2401"/>
    <w:rsid w:val="006E2C2F"/>
    <w:rsid w:val="006E2EF6"/>
    <w:rsid w:val="006E2FE0"/>
    <w:rsid w:val="006E38DF"/>
    <w:rsid w:val="006E44F2"/>
    <w:rsid w:val="006E4891"/>
    <w:rsid w:val="006E5919"/>
    <w:rsid w:val="006E59BD"/>
    <w:rsid w:val="006E6794"/>
    <w:rsid w:val="006E7385"/>
    <w:rsid w:val="006E7470"/>
    <w:rsid w:val="006E76F1"/>
    <w:rsid w:val="006E7A10"/>
    <w:rsid w:val="006E7CD3"/>
    <w:rsid w:val="006F00E1"/>
    <w:rsid w:val="006F0B32"/>
    <w:rsid w:val="006F1532"/>
    <w:rsid w:val="006F18EC"/>
    <w:rsid w:val="006F1DD0"/>
    <w:rsid w:val="006F1EE0"/>
    <w:rsid w:val="006F21CF"/>
    <w:rsid w:val="006F2418"/>
    <w:rsid w:val="006F26E7"/>
    <w:rsid w:val="006F294C"/>
    <w:rsid w:val="006F2AEB"/>
    <w:rsid w:val="006F2BE2"/>
    <w:rsid w:val="006F3149"/>
    <w:rsid w:val="006F31C7"/>
    <w:rsid w:val="006F347B"/>
    <w:rsid w:val="006F3B15"/>
    <w:rsid w:val="006F3DD2"/>
    <w:rsid w:val="006F4045"/>
    <w:rsid w:val="006F4071"/>
    <w:rsid w:val="006F4269"/>
    <w:rsid w:val="006F42D9"/>
    <w:rsid w:val="006F4603"/>
    <w:rsid w:val="006F47B1"/>
    <w:rsid w:val="006F4C6C"/>
    <w:rsid w:val="006F5932"/>
    <w:rsid w:val="006F5BB7"/>
    <w:rsid w:val="006F5D8A"/>
    <w:rsid w:val="006F79A2"/>
    <w:rsid w:val="006F7CB7"/>
    <w:rsid w:val="006F7EEC"/>
    <w:rsid w:val="007000A8"/>
    <w:rsid w:val="00700560"/>
    <w:rsid w:val="007011FF"/>
    <w:rsid w:val="007016ED"/>
    <w:rsid w:val="00701958"/>
    <w:rsid w:val="00701EA9"/>
    <w:rsid w:val="00702023"/>
    <w:rsid w:val="00702507"/>
    <w:rsid w:val="007025E3"/>
    <w:rsid w:val="00702EEC"/>
    <w:rsid w:val="007030B3"/>
    <w:rsid w:val="0070332C"/>
    <w:rsid w:val="00703597"/>
    <w:rsid w:val="00703749"/>
    <w:rsid w:val="00703967"/>
    <w:rsid w:val="00703D55"/>
    <w:rsid w:val="00704847"/>
    <w:rsid w:val="007049E5"/>
    <w:rsid w:val="007050EF"/>
    <w:rsid w:val="0070597D"/>
    <w:rsid w:val="00705C2E"/>
    <w:rsid w:val="00706172"/>
    <w:rsid w:val="00706368"/>
    <w:rsid w:val="00706D1D"/>
    <w:rsid w:val="0070746A"/>
    <w:rsid w:val="00707A30"/>
    <w:rsid w:val="007100A5"/>
    <w:rsid w:val="00710741"/>
    <w:rsid w:val="00710CCB"/>
    <w:rsid w:val="00710CFA"/>
    <w:rsid w:val="00710E1C"/>
    <w:rsid w:val="00711A56"/>
    <w:rsid w:val="00711AAA"/>
    <w:rsid w:val="00712728"/>
    <w:rsid w:val="0071330A"/>
    <w:rsid w:val="007138DA"/>
    <w:rsid w:val="00713A7E"/>
    <w:rsid w:val="0071418B"/>
    <w:rsid w:val="007143DA"/>
    <w:rsid w:val="0071452F"/>
    <w:rsid w:val="00714924"/>
    <w:rsid w:val="00714A0F"/>
    <w:rsid w:val="00714EA5"/>
    <w:rsid w:val="00714F71"/>
    <w:rsid w:val="00715715"/>
    <w:rsid w:val="00715CE6"/>
    <w:rsid w:val="00715F09"/>
    <w:rsid w:val="007160BA"/>
    <w:rsid w:val="00716459"/>
    <w:rsid w:val="00716684"/>
    <w:rsid w:val="0071680E"/>
    <w:rsid w:val="00716DCB"/>
    <w:rsid w:val="007176D0"/>
    <w:rsid w:val="00720B3F"/>
    <w:rsid w:val="00720B4A"/>
    <w:rsid w:val="00720C35"/>
    <w:rsid w:val="00720FAC"/>
    <w:rsid w:val="0072199D"/>
    <w:rsid w:val="00721A3F"/>
    <w:rsid w:val="00721B3C"/>
    <w:rsid w:val="0072263D"/>
    <w:rsid w:val="0072283D"/>
    <w:rsid w:val="00722D06"/>
    <w:rsid w:val="00722FA1"/>
    <w:rsid w:val="0072314B"/>
    <w:rsid w:val="00723191"/>
    <w:rsid w:val="00723438"/>
    <w:rsid w:val="00723918"/>
    <w:rsid w:val="00723E1A"/>
    <w:rsid w:val="00724347"/>
    <w:rsid w:val="00724480"/>
    <w:rsid w:val="00724641"/>
    <w:rsid w:val="00724972"/>
    <w:rsid w:val="007249CA"/>
    <w:rsid w:val="00724AB2"/>
    <w:rsid w:val="0072531D"/>
    <w:rsid w:val="007255D7"/>
    <w:rsid w:val="0072564E"/>
    <w:rsid w:val="00726053"/>
    <w:rsid w:val="00726132"/>
    <w:rsid w:val="0072625C"/>
    <w:rsid w:val="00726938"/>
    <w:rsid w:val="00726A2F"/>
    <w:rsid w:val="00726B7B"/>
    <w:rsid w:val="00727105"/>
    <w:rsid w:val="007272BA"/>
    <w:rsid w:val="00727671"/>
    <w:rsid w:val="00730844"/>
    <w:rsid w:val="007308C7"/>
    <w:rsid w:val="00730A93"/>
    <w:rsid w:val="00731133"/>
    <w:rsid w:val="00731746"/>
    <w:rsid w:val="0073187B"/>
    <w:rsid w:val="007319ED"/>
    <w:rsid w:val="00731AFB"/>
    <w:rsid w:val="007320B8"/>
    <w:rsid w:val="00732198"/>
    <w:rsid w:val="007323F1"/>
    <w:rsid w:val="00732ECD"/>
    <w:rsid w:val="00732F64"/>
    <w:rsid w:val="007330E1"/>
    <w:rsid w:val="00733536"/>
    <w:rsid w:val="0073404A"/>
    <w:rsid w:val="0073407F"/>
    <w:rsid w:val="00734290"/>
    <w:rsid w:val="00734C33"/>
    <w:rsid w:val="007358EB"/>
    <w:rsid w:val="00735B91"/>
    <w:rsid w:val="00735C3E"/>
    <w:rsid w:val="00736062"/>
    <w:rsid w:val="00736269"/>
    <w:rsid w:val="00736A30"/>
    <w:rsid w:val="00736EF5"/>
    <w:rsid w:val="0073729E"/>
    <w:rsid w:val="007376D7"/>
    <w:rsid w:val="0073795E"/>
    <w:rsid w:val="007401AB"/>
    <w:rsid w:val="007404E7"/>
    <w:rsid w:val="00740A87"/>
    <w:rsid w:val="00740EAF"/>
    <w:rsid w:val="00740EFD"/>
    <w:rsid w:val="0074103F"/>
    <w:rsid w:val="00741062"/>
    <w:rsid w:val="0074175F"/>
    <w:rsid w:val="00741AE1"/>
    <w:rsid w:val="00741F66"/>
    <w:rsid w:val="007420A3"/>
    <w:rsid w:val="00742C04"/>
    <w:rsid w:val="00743174"/>
    <w:rsid w:val="007431DD"/>
    <w:rsid w:val="00743386"/>
    <w:rsid w:val="00743666"/>
    <w:rsid w:val="007437ED"/>
    <w:rsid w:val="00743DCC"/>
    <w:rsid w:val="00743E3A"/>
    <w:rsid w:val="00744233"/>
    <w:rsid w:val="00744545"/>
    <w:rsid w:val="00744864"/>
    <w:rsid w:val="00744A8C"/>
    <w:rsid w:val="00744B81"/>
    <w:rsid w:val="00744CB7"/>
    <w:rsid w:val="00745A56"/>
    <w:rsid w:val="00745FAB"/>
    <w:rsid w:val="007464FD"/>
    <w:rsid w:val="00746BD3"/>
    <w:rsid w:val="00746DE6"/>
    <w:rsid w:val="00747381"/>
    <w:rsid w:val="0074765A"/>
    <w:rsid w:val="00750805"/>
    <w:rsid w:val="00751047"/>
    <w:rsid w:val="007515BF"/>
    <w:rsid w:val="00751F6D"/>
    <w:rsid w:val="0075206C"/>
    <w:rsid w:val="0075248D"/>
    <w:rsid w:val="00753259"/>
    <w:rsid w:val="00753AA1"/>
    <w:rsid w:val="00754317"/>
    <w:rsid w:val="0075441F"/>
    <w:rsid w:val="0075489A"/>
    <w:rsid w:val="00754C2E"/>
    <w:rsid w:val="00754EE6"/>
    <w:rsid w:val="00755C3E"/>
    <w:rsid w:val="00756116"/>
    <w:rsid w:val="007566C1"/>
    <w:rsid w:val="00756A77"/>
    <w:rsid w:val="00756BF7"/>
    <w:rsid w:val="00757931"/>
    <w:rsid w:val="0076014C"/>
    <w:rsid w:val="007605A9"/>
    <w:rsid w:val="00760744"/>
    <w:rsid w:val="00760F67"/>
    <w:rsid w:val="0076227D"/>
    <w:rsid w:val="00762325"/>
    <w:rsid w:val="007629EC"/>
    <w:rsid w:val="0076373E"/>
    <w:rsid w:val="00763889"/>
    <w:rsid w:val="00763EE2"/>
    <w:rsid w:val="00763F72"/>
    <w:rsid w:val="0076415E"/>
    <w:rsid w:val="00764284"/>
    <w:rsid w:val="00764A78"/>
    <w:rsid w:val="007650A6"/>
    <w:rsid w:val="007658E1"/>
    <w:rsid w:val="00765A45"/>
    <w:rsid w:val="00766CDC"/>
    <w:rsid w:val="00767741"/>
    <w:rsid w:val="00767F25"/>
    <w:rsid w:val="00770B11"/>
    <w:rsid w:val="00771737"/>
    <w:rsid w:val="00771ADD"/>
    <w:rsid w:val="00771D06"/>
    <w:rsid w:val="0077258F"/>
    <w:rsid w:val="00773ACC"/>
    <w:rsid w:val="00773BA2"/>
    <w:rsid w:val="00773FE4"/>
    <w:rsid w:val="0077462A"/>
    <w:rsid w:val="00774DAF"/>
    <w:rsid w:val="00774E27"/>
    <w:rsid w:val="00776973"/>
    <w:rsid w:val="00776AC8"/>
    <w:rsid w:val="00777592"/>
    <w:rsid w:val="00777A8E"/>
    <w:rsid w:val="00777F11"/>
    <w:rsid w:val="00780191"/>
    <w:rsid w:val="007802D6"/>
    <w:rsid w:val="0078037D"/>
    <w:rsid w:val="007804D2"/>
    <w:rsid w:val="00780815"/>
    <w:rsid w:val="00780933"/>
    <w:rsid w:val="00780AF7"/>
    <w:rsid w:val="00780B1D"/>
    <w:rsid w:val="00780C86"/>
    <w:rsid w:val="007810AD"/>
    <w:rsid w:val="007810B8"/>
    <w:rsid w:val="007817E4"/>
    <w:rsid w:val="007818B6"/>
    <w:rsid w:val="007819F3"/>
    <w:rsid w:val="00781B22"/>
    <w:rsid w:val="007821D7"/>
    <w:rsid w:val="007823B0"/>
    <w:rsid w:val="00782446"/>
    <w:rsid w:val="00782783"/>
    <w:rsid w:val="0078375B"/>
    <w:rsid w:val="00783DF9"/>
    <w:rsid w:val="00783EC0"/>
    <w:rsid w:val="007842A5"/>
    <w:rsid w:val="0078446E"/>
    <w:rsid w:val="007847FD"/>
    <w:rsid w:val="00784E47"/>
    <w:rsid w:val="00784EC0"/>
    <w:rsid w:val="007850C4"/>
    <w:rsid w:val="00785334"/>
    <w:rsid w:val="00785547"/>
    <w:rsid w:val="00785573"/>
    <w:rsid w:val="00785B2A"/>
    <w:rsid w:val="00785B4A"/>
    <w:rsid w:val="00785B9C"/>
    <w:rsid w:val="00785BB2"/>
    <w:rsid w:val="00785DB8"/>
    <w:rsid w:val="007862E1"/>
    <w:rsid w:val="007869B1"/>
    <w:rsid w:val="00787348"/>
    <w:rsid w:val="00787551"/>
    <w:rsid w:val="00787F90"/>
    <w:rsid w:val="0079021C"/>
    <w:rsid w:val="0079049D"/>
    <w:rsid w:val="0079073E"/>
    <w:rsid w:val="007908F0"/>
    <w:rsid w:val="00790B93"/>
    <w:rsid w:val="00790E4A"/>
    <w:rsid w:val="00791176"/>
    <w:rsid w:val="007911AD"/>
    <w:rsid w:val="00791218"/>
    <w:rsid w:val="0079151F"/>
    <w:rsid w:val="007917E2"/>
    <w:rsid w:val="007917F9"/>
    <w:rsid w:val="0079182C"/>
    <w:rsid w:val="00791AC4"/>
    <w:rsid w:val="00791DD7"/>
    <w:rsid w:val="00792619"/>
    <w:rsid w:val="007927AC"/>
    <w:rsid w:val="00792C9F"/>
    <w:rsid w:val="00792CEF"/>
    <w:rsid w:val="0079345B"/>
    <w:rsid w:val="00793B76"/>
    <w:rsid w:val="00793C3B"/>
    <w:rsid w:val="00793F09"/>
    <w:rsid w:val="0079468D"/>
    <w:rsid w:val="0079485B"/>
    <w:rsid w:val="0079593F"/>
    <w:rsid w:val="00795CD9"/>
    <w:rsid w:val="00796FF3"/>
    <w:rsid w:val="0079713D"/>
    <w:rsid w:val="00797B3B"/>
    <w:rsid w:val="007A0174"/>
    <w:rsid w:val="007A0285"/>
    <w:rsid w:val="007A05FB"/>
    <w:rsid w:val="007A1298"/>
    <w:rsid w:val="007A1643"/>
    <w:rsid w:val="007A1921"/>
    <w:rsid w:val="007A1FC4"/>
    <w:rsid w:val="007A233F"/>
    <w:rsid w:val="007A2346"/>
    <w:rsid w:val="007A25B4"/>
    <w:rsid w:val="007A2C09"/>
    <w:rsid w:val="007A2F77"/>
    <w:rsid w:val="007A3213"/>
    <w:rsid w:val="007A3547"/>
    <w:rsid w:val="007A35E8"/>
    <w:rsid w:val="007A3A75"/>
    <w:rsid w:val="007A3E86"/>
    <w:rsid w:val="007A5A4D"/>
    <w:rsid w:val="007A5C66"/>
    <w:rsid w:val="007A5EEE"/>
    <w:rsid w:val="007A6186"/>
    <w:rsid w:val="007A61C8"/>
    <w:rsid w:val="007A644B"/>
    <w:rsid w:val="007A6867"/>
    <w:rsid w:val="007A6984"/>
    <w:rsid w:val="007A6AB9"/>
    <w:rsid w:val="007A796B"/>
    <w:rsid w:val="007A7972"/>
    <w:rsid w:val="007A79B5"/>
    <w:rsid w:val="007A79E4"/>
    <w:rsid w:val="007A7D7A"/>
    <w:rsid w:val="007B0717"/>
    <w:rsid w:val="007B165A"/>
    <w:rsid w:val="007B1D76"/>
    <w:rsid w:val="007B1FA0"/>
    <w:rsid w:val="007B2350"/>
    <w:rsid w:val="007B2658"/>
    <w:rsid w:val="007B2DED"/>
    <w:rsid w:val="007B2EA8"/>
    <w:rsid w:val="007B2F6C"/>
    <w:rsid w:val="007B2FB3"/>
    <w:rsid w:val="007B3219"/>
    <w:rsid w:val="007B32E7"/>
    <w:rsid w:val="007B335D"/>
    <w:rsid w:val="007B359E"/>
    <w:rsid w:val="007B3E94"/>
    <w:rsid w:val="007B4106"/>
    <w:rsid w:val="007B47A5"/>
    <w:rsid w:val="007B4D38"/>
    <w:rsid w:val="007B51C5"/>
    <w:rsid w:val="007B5748"/>
    <w:rsid w:val="007B698F"/>
    <w:rsid w:val="007B6AE4"/>
    <w:rsid w:val="007B7061"/>
    <w:rsid w:val="007B7300"/>
    <w:rsid w:val="007B79D2"/>
    <w:rsid w:val="007B7A5E"/>
    <w:rsid w:val="007B7AF0"/>
    <w:rsid w:val="007C04FB"/>
    <w:rsid w:val="007C0CE4"/>
    <w:rsid w:val="007C0E6F"/>
    <w:rsid w:val="007C0F43"/>
    <w:rsid w:val="007C1F46"/>
    <w:rsid w:val="007C1F95"/>
    <w:rsid w:val="007C21D4"/>
    <w:rsid w:val="007C3175"/>
    <w:rsid w:val="007C3B23"/>
    <w:rsid w:val="007C3BEB"/>
    <w:rsid w:val="007C3F5D"/>
    <w:rsid w:val="007C40C0"/>
    <w:rsid w:val="007C438A"/>
    <w:rsid w:val="007C455A"/>
    <w:rsid w:val="007C490D"/>
    <w:rsid w:val="007C4925"/>
    <w:rsid w:val="007C57FE"/>
    <w:rsid w:val="007C5A38"/>
    <w:rsid w:val="007C5AC6"/>
    <w:rsid w:val="007C61BB"/>
    <w:rsid w:val="007C6371"/>
    <w:rsid w:val="007C64E5"/>
    <w:rsid w:val="007C6861"/>
    <w:rsid w:val="007C6F00"/>
    <w:rsid w:val="007C6FAA"/>
    <w:rsid w:val="007C72C8"/>
    <w:rsid w:val="007C74A4"/>
    <w:rsid w:val="007C7B3D"/>
    <w:rsid w:val="007C7BBD"/>
    <w:rsid w:val="007C7E7C"/>
    <w:rsid w:val="007C7F94"/>
    <w:rsid w:val="007D0152"/>
    <w:rsid w:val="007D03BB"/>
    <w:rsid w:val="007D04A6"/>
    <w:rsid w:val="007D075F"/>
    <w:rsid w:val="007D0825"/>
    <w:rsid w:val="007D0837"/>
    <w:rsid w:val="007D202F"/>
    <w:rsid w:val="007D25C2"/>
    <w:rsid w:val="007D2B11"/>
    <w:rsid w:val="007D2FA5"/>
    <w:rsid w:val="007D3913"/>
    <w:rsid w:val="007D3C8D"/>
    <w:rsid w:val="007D3CDE"/>
    <w:rsid w:val="007D4450"/>
    <w:rsid w:val="007D449C"/>
    <w:rsid w:val="007D496C"/>
    <w:rsid w:val="007D4E7C"/>
    <w:rsid w:val="007D4FFF"/>
    <w:rsid w:val="007D5209"/>
    <w:rsid w:val="007D534F"/>
    <w:rsid w:val="007D56E6"/>
    <w:rsid w:val="007D637D"/>
    <w:rsid w:val="007D66DB"/>
    <w:rsid w:val="007D6A30"/>
    <w:rsid w:val="007D6A34"/>
    <w:rsid w:val="007D6A37"/>
    <w:rsid w:val="007D6B39"/>
    <w:rsid w:val="007D6F34"/>
    <w:rsid w:val="007D7026"/>
    <w:rsid w:val="007D7036"/>
    <w:rsid w:val="007D7A8E"/>
    <w:rsid w:val="007D7BF8"/>
    <w:rsid w:val="007D7C69"/>
    <w:rsid w:val="007D7F22"/>
    <w:rsid w:val="007E019D"/>
    <w:rsid w:val="007E049E"/>
    <w:rsid w:val="007E159D"/>
    <w:rsid w:val="007E171C"/>
    <w:rsid w:val="007E1AD4"/>
    <w:rsid w:val="007E1BD3"/>
    <w:rsid w:val="007E1C63"/>
    <w:rsid w:val="007E2846"/>
    <w:rsid w:val="007E2F00"/>
    <w:rsid w:val="007E379B"/>
    <w:rsid w:val="007E39D9"/>
    <w:rsid w:val="007E4D87"/>
    <w:rsid w:val="007E503C"/>
    <w:rsid w:val="007E523D"/>
    <w:rsid w:val="007E5377"/>
    <w:rsid w:val="007E5CD7"/>
    <w:rsid w:val="007E5DC2"/>
    <w:rsid w:val="007E637E"/>
    <w:rsid w:val="007E6967"/>
    <w:rsid w:val="007E74ED"/>
    <w:rsid w:val="007E754A"/>
    <w:rsid w:val="007F0640"/>
    <w:rsid w:val="007F0A59"/>
    <w:rsid w:val="007F10D4"/>
    <w:rsid w:val="007F11DE"/>
    <w:rsid w:val="007F1319"/>
    <w:rsid w:val="007F1B95"/>
    <w:rsid w:val="007F2D25"/>
    <w:rsid w:val="007F2DA9"/>
    <w:rsid w:val="007F38C1"/>
    <w:rsid w:val="007F3CE3"/>
    <w:rsid w:val="007F3E43"/>
    <w:rsid w:val="007F40E6"/>
    <w:rsid w:val="007F459D"/>
    <w:rsid w:val="007F45D7"/>
    <w:rsid w:val="007F48A5"/>
    <w:rsid w:val="007F4EE6"/>
    <w:rsid w:val="007F5267"/>
    <w:rsid w:val="007F537C"/>
    <w:rsid w:val="007F5916"/>
    <w:rsid w:val="007F695E"/>
    <w:rsid w:val="007F6A41"/>
    <w:rsid w:val="007F6CFC"/>
    <w:rsid w:val="007F6D56"/>
    <w:rsid w:val="007F71B4"/>
    <w:rsid w:val="007F73E0"/>
    <w:rsid w:val="0080004B"/>
    <w:rsid w:val="008001EA"/>
    <w:rsid w:val="008003C3"/>
    <w:rsid w:val="00800453"/>
    <w:rsid w:val="008009D1"/>
    <w:rsid w:val="00800A35"/>
    <w:rsid w:val="00800AC8"/>
    <w:rsid w:val="00800C10"/>
    <w:rsid w:val="0080107C"/>
    <w:rsid w:val="00801246"/>
    <w:rsid w:val="00801E11"/>
    <w:rsid w:val="00802122"/>
    <w:rsid w:val="0080218E"/>
    <w:rsid w:val="00802232"/>
    <w:rsid w:val="00802A46"/>
    <w:rsid w:val="00802ED8"/>
    <w:rsid w:val="0080313D"/>
    <w:rsid w:val="00803178"/>
    <w:rsid w:val="008034D2"/>
    <w:rsid w:val="00803592"/>
    <w:rsid w:val="00803672"/>
    <w:rsid w:val="0080385C"/>
    <w:rsid w:val="00803BAC"/>
    <w:rsid w:val="00804347"/>
    <w:rsid w:val="0080452B"/>
    <w:rsid w:val="0080472C"/>
    <w:rsid w:val="00804DAF"/>
    <w:rsid w:val="00804E1A"/>
    <w:rsid w:val="00805968"/>
    <w:rsid w:val="00805C99"/>
    <w:rsid w:val="00805DBA"/>
    <w:rsid w:val="00806248"/>
    <w:rsid w:val="00806C10"/>
    <w:rsid w:val="00806CA8"/>
    <w:rsid w:val="00807695"/>
    <w:rsid w:val="00807997"/>
    <w:rsid w:val="00807B4F"/>
    <w:rsid w:val="00807D0E"/>
    <w:rsid w:val="00807E22"/>
    <w:rsid w:val="008105CB"/>
    <w:rsid w:val="00811769"/>
    <w:rsid w:val="00811B23"/>
    <w:rsid w:val="00811BBF"/>
    <w:rsid w:val="00812052"/>
    <w:rsid w:val="00812424"/>
    <w:rsid w:val="00812648"/>
    <w:rsid w:val="00812825"/>
    <w:rsid w:val="00812D18"/>
    <w:rsid w:val="00813000"/>
    <w:rsid w:val="008135CB"/>
    <w:rsid w:val="00813C34"/>
    <w:rsid w:val="0081409D"/>
    <w:rsid w:val="00814C78"/>
    <w:rsid w:val="00814D48"/>
    <w:rsid w:val="00814D94"/>
    <w:rsid w:val="00815686"/>
    <w:rsid w:val="00815D0E"/>
    <w:rsid w:val="00815E82"/>
    <w:rsid w:val="00816173"/>
    <w:rsid w:val="008161A3"/>
    <w:rsid w:val="008162DA"/>
    <w:rsid w:val="00816844"/>
    <w:rsid w:val="00816897"/>
    <w:rsid w:val="008168B3"/>
    <w:rsid w:val="00816AFE"/>
    <w:rsid w:val="00816B2B"/>
    <w:rsid w:val="00817EF6"/>
    <w:rsid w:val="00820139"/>
    <w:rsid w:val="0082019A"/>
    <w:rsid w:val="00820344"/>
    <w:rsid w:val="0082043F"/>
    <w:rsid w:val="0082057B"/>
    <w:rsid w:val="00820D8D"/>
    <w:rsid w:val="00821494"/>
    <w:rsid w:val="008214C7"/>
    <w:rsid w:val="0082163E"/>
    <w:rsid w:val="00821A53"/>
    <w:rsid w:val="0082267C"/>
    <w:rsid w:val="00822EFA"/>
    <w:rsid w:val="0082327C"/>
    <w:rsid w:val="008238F5"/>
    <w:rsid w:val="00823BDF"/>
    <w:rsid w:val="00824690"/>
    <w:rsid w:val="00824BA7"/>
    <w:rsid w:val="00824DBA"/>
    <w:rsid w:val="00825002"/>
    <w:rsid w:val="008254BD"/>
    <w:rsid w:val="008257EF"/>
    <w:rsid w:val="00825918"/>
    <w:rsid w:val="00825C8A"/>
    <w:rsid w:val="00825DC4"/>
    <w:rsid w:val="00826007"/>
    <w:rsid w:val="00826056"/>
    <w:rsid w:val="00826251"/>
    <w:rsid w:val="008264E3"/>
    <w:rsid w:val="00826DCB"/>
    <w:rsid w:val="00827BDC"/>
    <w:rsid w:val="008303A2"/>
    <w:rsid w:val="0083064F"/>
    <w:rsid w:val="00830796"/>
    <w:rsid w:val="00830BF9"/>
    <w:rsid w:val="00830C25"/>
    <w:rsid w:val="00831052"/>
    <w:rsid w:val="00831529"/>
    <w:rsid w:val="008317F2"/>
    <w:rsid w:val="008323EE"/>
    <w:rsid w:val="00832629"/>
    <w:rsid w:val="0083292E"/>
    <w:rsid w:val="00833016"/>
    <w:rsid w:val="008339CE"/>
    <w:rsid w:val="00833B48"/>
    <w:rsid w:val="00833F97"/>
    <w:rsid w:val="008347A9"/>
    <w:rsid w:val="00835362"/>
    <w:rsid w:val="008355B6"/>
    <w:rsid w:val="00835636"/>
    <w:rsid w:val="0083578A"/>
    <w:rsid w:val="008357F1"/>
    <w:rsid w:val="0083586F"/>
    <w:rsid w:val="0083623C"/>
    <w:rsid w:val="008363E1"/>
    <w:rsid w:val="00836529"/>
    <w:rsid w:val="00836A35"/>
    <w:rsid w:val="00836A57"/>
    <w:rsid w:val="008374F3"/>
    <w:rsid w:val="00840261"/>
    <w:rsid w:val="0084035E"/>
    <w:rsid w:val="0084060A"/>
    <w:rsid w:val="008406A7"/>
    <w:rsid w:val="008407B2"/>
    <w:rsid w:val="00840832"/>
    <w:rsid w:val="00840D51"/>
    <w:rsid w:val="00840DDD"/>
    <w:rsid w:val="0084120F"/>
    <w:rsid w:val="008416FA"/>
    <w:rsid w:val="00841CC6"/>
    <w:rsid w:val="00841E9E"/>
    <w:rsid w:val="00842083"/>
    <w:rsid w:val="00842A66"/>
    <w:rsid w:val="00843136"/>
    <w:rsid w:val="00843601"/>
    <w:rsid w:val="0084365E"/>
    <w:rsid w:val="00843808"/>
    <w:rsid w:val="008444DB"/>
    <w:rsid w:val="00844957"/>
    <w:rsid w:val="00844A66"/>
    <w:rsid w:val="00844AF7"/>
    <w:rsid w:val="008454C5"/>
    <w:rsid w:val="008457BE"/>
    <w:rsid w:val="008459F7"/>
    <w:rsid w:val="00845A15"/>
    <w:rsid w:val="00845CD6"/>
    <w:rsid w:val="00845D81"/>
    <w:rsid w:val="00845F98"/>
    <w:rsid w:val="00845FE6"/>
    <w:rsid w:val="008461E4"/>
    <w:rsid w:val="00846711"/>
    <w:rsid w:val="00846ED1"/>
    <w:rsid w:val="00846FBE"/>
    <w:rsid w:val="008471E1"/>
    <w:rsid w:val="008478CA"/>
    <w:rsid w:val="00847C17"/>
    <w:rsid w:val="00851270"/>
    <w:rsid w:val="00851829"/>
    <w:rsid w:val="00852EB1"/>
    <w:rsid w:val="00852EE1"/>
    <w:rsid w:val="0085310E"/>
    <w:rsid w:val="008540E8"/>
    <w:rsid w:val="008542E6"/>
    <w:rsid w:val="0085466F"/>
    <w:rsid w:val="008546E1"/>
    <w:rsid w:val="00854E38"/>
    <w:rsid w:val="008551AF"/>
    <w:rsid w:val="0085540C"/>
    <w:rsid w:val="00855794"/>
    <w:rsid w:val="00855797"/>
    <w:rsid w:val="0085579B"/>
    <w:rsid w:val="00855865"/>
    <w:rsid w:val="00855A1B"/>
    <w:rsid w:val="00855A28"/>
    <w:rsid w:val="00855BDF"/>
    <w:rsid w:val="00855D0F"/>
    <w:rsid w:val="00855E5D"/>
    <w:rsid w:val="00856381"/>
    <w:rsid w:val="00856399"/>
    <w:rsid w:val="0085771F"/>
    <w:rsid w:val="008578B8"/>
    <w:rsid w:val="0085796A"/>
    <w:rsid w:val="008579C7"/>
    <w:rsid w:val="00857B94"/>
    <w:rsid w:val="00857C4F"/>
    <w:rsid w:val="00857C7A"/>
    <w:rsid w:val="0086069A"/>
    <w:rsid w:val="00861562"/>
    <w:rsid w:val="008621BA"/>
    <w:rsid w:val="008622AF"/>
    <w:rsid w:val="0086236F"/>
    <w:rsid w:val="008625FE"/>
    <w:rsid w:val="00862B64"/>
    <w:rsid w:val="00863345"/>
    <w:rsid w:val="00863BA7"/>
    <w:rsid w:val="00863DDF"/>
    <w:rsid w:val="008640A2"/>
    <w:rsid w:val="008644F2"/>
    <w:rsid w:val="00864AD6"/>
    <w:rsid w:val="00864D1E"/>
    <w:rsid w:val="00865315"/>
    <w:rsid w:val="008658C4"/>
    <w:rsid w:val="008664F3"/>
    <w:rsid w:val="0086660D"/>
    <w:rsid w:val="008667BC"/>
    <w:rsid w:val="0086717E"/>
    <w:rsid w:val="00867B54"/>
    <w:rsid w:val="00867C8C"/>
    <w:rsid w:val="00867EBB"/>
    <w:rsid w:val="0087099C"/>
    <w:rsid w:val="00870BDA"/>
    <w:rsid w:val="00871026"/>
    <w:rsid w:val="0087114F"/>
    <w:rsid w:val="0087165F"/>
    <w:rsid w:val="00871BBF"/>
    <w:rsid w:val="00872036"/>
    <w:rsid w:val="008723CE"/>
    <w:rsid w:val="008725FE"/>
    <w:rsid w:val="00872A44"/>
    <w:rsid w:val="00872C79"/>
    <w:rsid w:val="00872D42"/>
    <w:rsid w:val="00873350"/>
    <w:rsid w:val="008735B9"/>
    <w:rsid w:val="00873820"/>
    <w:rsid w:val="00873B21"/>
    <w:rsid w:val="00873BE2"/>
    <w:rsid w:val="00873D2B"/>
    <w:rsid w:val="008742AD"/>
    <w:rsid w:val="0087436B"/>
    <w:rsid w:val="0087473F"/>
    <w:rsid w:val="00874E02"/>
    <w:rsid w:val="00874F6C"/>
    <w:rsid w:val="00875916"/>
    <w:rsid w:val="00875C0F"/>
    <w:rsid w:val="008761F9"/>
    <w:rsid w:val="00876A24"/>
    <w:rsid w:val="0087709E"/>
    <w:rsid w:val="0087730C"/>
    <w:rsid w:val="00877818"/>
    <w:rsid w:val="0087784A"/>
    <w:rsid w:val="00877A85"/>
    <w:rsid w:val="008800EA"/>
    <w:rsid w:val="00880226"/>
    <w:rsid w:val="00880BC6"/>
    <w:rsid w:val="00880C1B"/>
    <w:rsid w:val="00880C79"/>
    <w:rsid w:val="008815B1"/>
    <w:rsid w:val="00881E83"/>
    <w:rsid w:val="0088303D"/>
    <w:rsid w:val="00883431"/>
    <w:rsid w:val="00883A3B"/>
    <w:rsid w:val="00883DAA"/>
    <w:rsid w:val="00883E28"/>
    <w:rsid w:val="008843EC"/>
    <w:rsid w:val="0088458A"/>
    <w:rsid w:val="008850B6"/>
    <w:rsid w:val="008852B7"/>
    <w:rsid w:val="00885494"/>
    <w:rsid w:val="00885E87"/>
    <w:rsid w:val="00885F80"/>
    <w:rsid w:val="00886009"/>
    <w:rsid w:val="008860BD"/>
    <w:rsid w:val="008864D7"/>
    <w:rsid w:val="00886A3E"/>
    <w:rsid w:val="00887068"/>
    <w:rsid w:val="0088791B"/>
    <w:rsid w:val="00890112"/>
    <w:rsid w:val="008904C6"/>
    <w:rsid w:val="00890679"/>
    <w:rsid w:val="00890876"/>
    <w:rsid w:val="008908C5"/>
    <w:rsid w:val="00890BE4"/>
    <w:rsid w:val="008916D7"/>
    <w:rsid w:val="00891B74"/>
    <w:rsid w:val="0089244D"/>
    <w:rsid w:val="0089295E"/>
    <w:rsid w:val="00892FDC"/>
    <w:rsid w:val="0089300F"/>
    <w:rsid w:val="00893284"/>
    <w:rsid w:val="00893429"/>
    <w:rsid w:val="00893A2B"/>
    <w:rsid w:val="00894195"/>
    <w:rsid w:val="00894276"/>
    <w:rsid w:val="0089475D"/>
    <w:rsid w:val="008949F1"/>
    <w:rsid w:val="00894AAD"/>
    <w:rsid w:val="00894E88"/>
    <w:rsid w:val="00894EFB"/>
    <w:rsid w:val="00895B09"/>
    <w:rsid w:val="00895BDC"/>
    <w:rsid w:val="00895F8C"/>
    <w:rsid w:val="00896334"/>
    <w:rsid w:val="0089685C"/>
    <w:rsid w:val="008969D6"/>
    <w:rsid w:val="00896A64"/>
    <w:rsid w:val="00896BB1"/>
    <w:rsid w:val="00897929"/>
    <w:rsid w:val="00897BF5"/>
    <w:rsid w:val="00897C27"/>
    <w:rsid w:val="00897DD8"/>
    <w:rsid w:val="00897E45"/>
    <w:rsid w:val="008A0045"/>
    <w:rsid w:val="008A00B7"/>
    <w:rsid w:val="008A0ADD"/>
    <w:rsid w:val="008A1309"/>
    <w:rsid w:val="008A1A52"/>
    <w:rsid w:val="008A1E7C"/>
    <w:rsid w:val="008A1FD0"/>
    <w:rsid w:val="008A29C6"/>
    <w:rsid w:val="008A2B43"/>
    <w:rsid w:val="008A2BE3"/>
    <w:rsid w:val="008A2F9B"/>
    <w:rsid w:val="008A3BE8"/>
    <w:rsid w:val="008A4559"/>
    <w:rsid w:val="008A4B96"/>
    <w:rsid w:val="008A5743"/>
    <w:rsid w:val="008A5864"/>
    <w:rsid w:val="008A5AC9"/>
    <w:rsid w:val="008A63F9"/>
    <w:rsid w:val="008A6572"/>
    <w:rsid w:val="008A65C3"/>
    <w:rsid w:val="008A67E6"/>
    <w:rsid w:val="008A68C0"/>
    <w:rsid w:val="008A6E7F"/>
    <w:rsid w:val="008A71C0"/>
    <w:rsid w:val="008A72B2"/>
    <w:rsid w:val="008A72C8"/>
    <w:rsid w:val="008A756C"/>
    <w:rsid w:val="008A77BD"/>
    <w:rsid w:val="008A7980"/>
    <w:rsid w:val="008A7CBD"/>
    <w:rsid w:val="008A7FC2"/>
    <w:rsid w:val="008B01B0"/>
    <w:rsid w:val="008B03BB"/>
    <w:rsid w:val="008B0629"/>
    <w:rsid w:val="008B06E6"/>
    <w:rsid w:val="008B09C2"/>
    <w:rsid w:val="008B100F"/>
    <w:rsid w:val="008B10B1"/>
    <w:rsid w:val="008B1150"/>
    <w:rsid w:val="008B238F"/>
    <w:rsid w:val="008B2520"/>
    <w:rsid w:val="008B25BF"/>
    <w:rsid w:val="008B2762"/>
    <w:rsid w:val="008B2E97"/>
    <w:rsid w:val="008B2F0B"/>
    <w:rsid w:val="008B3410"/>
    <w:rsid w:val="008B3446"/>
    <w:rsid w:val="008B36F0"/>
    <w:rsid w:val="008B3A21"/>
    <w:rsid w:val="008B3FF9"/>
    <w:rsid w:val="008B4BCC"/>
    <w:rsid w:val="008B4E34"/>
    <w:rsid w:val="008B5ACB"/>
    <w:rsid w:val="008B7A6A"/>
    <w:rsid w:val="008C016F"/>
    <w:rsid w:val="008C0368"/>
    <w:rsid w:val="008C07F2"/>
    <w:rsid w:val="008C0EC5"/>
    <w:rsid w:val="008C13F9"/>
    <w:rsid w:val="008C1822"/>
    <w:rsid w:val="008C18CD"/>
    <w:rsid w:val="008C1A5D"/>
    <w:rsid w:val="008C1D86"/>
    <w:rsid w:val="008C1FED"/>
    <w:rsid w:val="008C2063"/>
    <w:rsid w:val="008C222D"/>
    <w:rsid w:val="008C2765"/>
    <w:rsid w:val="008C2877"/>
    <w:rsid w:val="008C2BC8"/>
    <w:rsid w:val="008C2CAB"/>
    <w:rsid w:val="008C3CC0"/>
    <w:rsid w:val="008C43F8"/>
    <w:rsid w:val="008C49F1"/>
    <w:rsid w:val="008C4CDA"/>
    <w:rsid w:val="008C4F6C"/>
    <w:rsid w:val="008C549D"/>
    <w:rsid w:val="008C5B15"/>
    <w:rsid w:val="008C5E8F"/>
    <w:rsid w:val="008C6023"/>
    <w:rsid w:val="008C6DF2"/>
    <w:rsid w:val="008C6E1A"/>
    <w:rsid w:val="008C6F40"/>
    <w:rsid w:val="008C6F4F"/>
    <w:rsid w:val="008C7807"/>
    <w:rsid w:val="008D0395"/>
    <w:rsid w:val="008D0FF8"/>
    <w:rsid w:val="008D1075"/>
    <w:rsid w:val="008D10BE"/>
    <w:rsid w:val="008D147E"/>
    <w:rsid w:val="008D164E"/>
    <w:rsid w:val="008D1A9E"/>
    <w:rsid w:val="008D2FDD"/>
    <w:rsid w:val="008D30C8"/>
    <w:rsid w:val="008D3BA2"/>
    <w:rsid w:val="008D3C6A"/>
    <w:rsid w:val="008D3ED1"/>
    <w:rsid w:val="008D4018"/>
    <w:rsid w:val="008D4053"/>
    <w:rsid w:val="008D447E"/>
    <w:rsid w:val="008D4568"/>
    <w:rsid w:val="008D5566"/>
    <w:rsid w:val="008D5776"/>
    <w:rsid w:val="008D5BA8"/>
    <w:rsid w:val="008D5F3C"/>
    <w:rsid w:val="008D61B6"/>
    <w:rsid w:val="008D6963"/>
    <w:rsid w:val="008D6F92"/>
    <w:rsid w:val="008D7331"/>
    <w:rsid w:val="008D7C7F"/>
    <w:rsid w:val="008E0351"/>
    <w:rsid w:val="008E0478"/>
    <w:rsid w:val="008E05FA"/>
    <w:rsid w:val="008E08BA"/>
    <w:rsid w:val="008E0B15"/>
    <w:rsid w:val="008E0C99"/>
    <w:rsid w:val="008E16C4"/>
    <w:rsid w:val="008E1E42"/>
    <w:rsid w:val="008E27FE"/>
    <w:rsid w:val="008E306E"/>
    <w:rsid w:val="008E3755"/>
    <w:rsid w:val="008E3808"/>
    <w:rsid w:val="008E381D"/>
    <w:rsid w:val="008E3C60"/>
    <w:rsid w:val="008E4314"/>
    <w:rsid w:val="008E4FA2"/>
    <w:rsid w:val="008E528E"/>
    <w:rsid w:val="008E57DF"/>
    <w:rsid w:val="008E595F"/>
    <w:rsid w:val="008E59EC"/>
    <w:rsid w:val="008E5AB4"/>
    <w:rsid w:val="008E607A"/>
    <w:rsid w:val="008E6147"/>
    <w:rsid w:val="008E6186"/>
    <w:rsid w:val="008E63E6"/>
    <w:rsid w:val="008E69D9"/>
    <w:rsid w:val="008E6C14"/>
    <w:rsid w:val="008F0171"/>
    <w:rsid w:val="008F017E"/>
    <w:rsid w:val="008F0289"/>
    <w:rsid w:val="008F140E"/>
    <w:rsid w:val="008F141A"/>
    <w:rsid w:val="008F1AF5"/>
    <w:rsid w:val="008F1C9C"/>
    <w:rsid w:val="008F1CCA"/>
    <w:rsid w:val="008F2177"/>
    <w:rsid w:val="008F2221"/>
    <w:rsid w:val="008F24D5"/>
    <w:rsid w:val="008F27D2"/>
    <w:rsid w:val="008F31C7"/>
    <w:rsid w:val="008F3CF5"/>
    <w:rsid w:val="008F3FAE"/>
    <w:rsid w:val="008F4151"/>
    <w:rsid w:val="008F54AE"/>
    <w:rsid w:val="008F5B53"/>
    <w:rsid w:val="008F5BCC"/>
    <w:rsid w:val="008F5F14"/>
    <w:rsid w:val="008F5F86"/>
    <w:rsid w:val="008F64B7"/>
    <w:rsid w:val="008F6B3D"/>
    <w:rsid w:val="008F6C6A"/>
    <w:rsid w:val="008F7224"/>
    <w:rsid w:val="008F76CA"/>
    <w:rsid w:val="008F7D95"/>
    <w:rsid w:val="008F7FB6"/>
    <w:rsid w:val="00900117"/>
    <w:rsid w:val="009003E7"/>
    <w:rsid w:val="009004CD"/>
    <w:rsid w:val="00900663"/>
    <w:rsid w:val="009006FF"/>
    <w:rsid w:val="00900AE4"/>
    <w:rsid w:val="00900BB7"/>
    <w:rsid w:val="00901438"/>
    <w:rsid w:val="009015E8"/>
    <w:rsid w:val="009015ED"/>
    <w:rsid w:val="00901BDA"/>
    <w:rsid w:val="00901D47"/>
    <w:rsid w:val="0090238A"/>
    <w:rsid w:val="0090249D"/>
    <w:rsid w:val="00902676"/>
    <w:rsid w:val="00902DF1"/>
    <w:rsid w:val="00903094"/>
    <w:rsid w:val="0090322E"/>
    <w:rsid w:val="00903349"/>
    <w:rsid w:val="009033C8"/>
    <w:rsid w:val="00903A63"/>
    <w:rsid w:val="00903BD3"/>
    <w:rsid w:val="00903C26"/>
    <w:rsid w:val="009042CB"/>
    <w:rsid w:val="009042D6"/>
    <w:rsid w:val="00904836"/>
    <w:rsid w:val="00904932"/>
    <w:rsid w:val="00904DFA"/>
    <w:rsid w:val="00905531"/>
    <w:rsid w:val="00905951"/>
    <w:rsid w:val="00905A7A"/>
    <w:rsid w:val="00905C2A"/>
    <w:rsid w:val="00906455"/>
    <w:rsid w:val="00906A16"/>
    <w:rsid w:val="00906C9C"/>
    <w:rsid w:val="00907059"/>
    <w:rsid w:val="00907638"/>
    <w:rsid w:val="0090779E"/>
    <w:rsid w:val="009077DE"/>
    <w:rsid w:val="009107AF"/>
    <w:rsid w:val="009107E3"/>
    <w:rsid w:val="0091092C"/>
    <w:rsid w:val="00910BEE"/>
    <w:rsid w:val="00911307"/>
    <w:rsid w:val="00911E22"/>
    <w:rsid w:val="0091218C"/>
    <w:rsid w:val="009127F3"/>
    <w:rsid w:val="00913016"/>
    <w:rsid w:val="0091304E"/>
    <w:rsid w:val="009139BF"/>
    <w:rsid w:val="00913FE6"/>
    <w:rsid w:val="0091447A"/>
    <w:rsid w:val="009145CC"/>
    <w:rsid w:val="0091484D"/>
    <w:rsid w:val="00914974"/>
    <w:rsid w:val="00914A82"/>
    <w:rsid w:val="00914FD3"/>
    <w:rsid w:val="00915992"/>
    <w:rsid w:val="00915B1A"/>
    <w:rsid w:val="00915CC7"/>
    <w:rsid w:val="00915FC2"/>
    <w:rsid w:val="0091660C"/>
    <w:rsid w:val="00916854"/>
    <w:rsid w:val="00916BFA"/>
    <w:rsid w:val="00916C5E"/>
    <w:rsid w:val="00916FEF"/>
    <w:rsid w:val="00917F7C"/>
    <w:rsid w:val="009202EA"/>
    <w:rsid w:val="00920CD6"/>
    <w:rsid w:val="009213CB"/>
    <w:rsid w:val="009215B8"/>
    <w:rsid w:val="00921F84"/>
    <w:rsid w:val="00922739"/>
    <w:rsid w:val="00922FE4"/>
    <w:rsid w:val="0092312B"/>
    <w:rsid w:val="00923466"/>
    <w:rsid w:val="00923750"/>
    <w:rsid w:val="00923774"/>
    <w:rsid w:val="009239EB"/>
    <w:rsid w:val="0092404A"/>
    <w:rsid w:val="009245CC"/>
    <w:rsid w:val="00924686"/>
    <w:rsid w:val="00924BD5"/>
    <w:rsid w:val="00924DF0"/>
    <w:rsid w:val="0092505A"/>
    <w:rsid w:val="009259EF"/>
    <w:rsid w:val="00925B07"/>
    <w:rsid w:val="00925D56"/>
    <w:rsid w:val="0092635C"/>
    <w:rsid w:val="0092679D"/>
    <w:rsid w:val="0092689D"/>
    <w:rsid w:val="0092692A"/>
    <w:rsid w:val="00927855"/>
    <w:rsid w:val="00927876"/>
    <w:rsid w:val="00927AAA"/>
    <w:rsid w:val="00927B28"/>
    <w:rsid w:val="00927CFF"/>
    <w:rsid w:val="00930C0E"/>
    <w:rsid w:val="0093122E"/>
    <w:rsid w:val="0093133B"/>
    <w:rsid w:val="009315BC"/>
    <w:rsid w:val="00931E88"/>
    <w:rsid w:val="0093216C"/>
    <w:rsid w:val="00932428"/>
    <w:rsid w:val="00932A56"/>
    <w:rsid w:val="0093305E"/>
    <w:rsid w:val="00933491"/>
    <w:rsid w:val="00933696"/>
    <w:rsid w:val="00933C93"/>
    <w:rsid w:val="009340B1"/>
    <w:rsid w:val="009340D8"/>
    <w:rsid w:val="009345A3"/>
    <w:rsid w:val="0093503C"/>
    <w:rsid w:val="009355B6"/>
    <w:rsid w:val="00935A19"/>
    <w:rsid w:val="00935FB2"/>
    <w:rsid w:val="0093614F"/>
    <w:rsid w:val="009361A8"/>
    <w:rsid w:val="00937C1F"/>
    <w:rsid w:val="00940007"/>
    <w:rsid w:val="009405CC"/>
    <w:rsid w:val="009407EB"/>
    <w:rsid w:val="00940BBC"/>
    <w:rsid w:val="00940C0F"/>
    <w:rsid w:val="00940CD7"/>
    <w:rsid w:val="0094103E"/>
    <w:rsid w:val="009419B3"/>
    <w:rsid w:val="00941D18"/>
    <w:rsid w:val="00941E34"/>
    <w:rsid w:val="00942602"/>
    <w:rsid w:val="00942DD5"/>
    <w:rsid w:val="00942DFD"/>
    <w:rsid w:val="00942EA6"/>
    <w:rsid w:val="00943125"/>
    <w:rsid w:val="00943706"/>
    <w:rsid w:val="009443A1"/>
    <w:rsid w:val="0094468D"/>
    <w:rsid w:val="00944B9C"/>
    <w:rsid w:val="00945126"/>
    <w:rsid w:val="009455A9"/>
    <w:rsid w:val="00945703"/>
    <w:rsid w:val="00945A5A"/>
    <w:rsid w:val="00946315"/>
    <w:rsid w:val="009464BB"/>
    <w:rsid w:val="009466E7"/>
    <w:rsid w:val="00946BAE"/>
    <w:rsid w:val="00946E51"/>
    <w:rsid w:val="00947378"/>
    <w:rsid w:val="00947457"/>
    <w:rsid w:val="00947914"/>
    <w:rsid w:val="009502DE"/>
    <w:rsid w:val="0095032F"/>
    <w:rsid w:val="0095055D"/>
    <w:rsid w:val="009507F5"/>
    <w:rsid w:val="00950ED5"/>
    <w:rsid w:val="00950F5F"/>
    <w:rsid w:val="00951274"/>
    <w:rsid w:val="009513E6"/>
    <w:rsid w:val="00951547"/>
    <w:rsid w:val="0095157B"/>
    <w:rsid w:val="009516C6"/>
    <w:rsid w:val="009517C3"/>
    <w:rsid w:val="009518C4"/>
    <w:rsid w:val="00951D5C"/>
    <w:rsid w:val="00951D9E"/>
    <w:rsid w:val="00951EEC"/>
    <w:rsid w:val="009521E6"/>
    <w:rsid w:val="0095244C"/>
    <w:rsid w:val="0095249F"/>
    <w:rsid w:val="009525D2"/>
    <w:rsid w:val="009530DA"/>
    <w:rsid w:val="00953732"/>
    <w:rsid w:val="00953BE2"/>
    <w:rsid w:val="00953CFB"/>
    <w:rsid w:val="0095435E"/>
    <w:rsid w:val="0095472D"/>
    <w:rsid w:val="0095495E"/>
    <w:rsid w:val="00954B09"/>
    <w:rsid w:val="00954C60"/>
    <w:rsid w:val="00954E3A"/>
    <w:rsid w:val="009550F2"/>
    <w:rsid w:val="00955161"/>
    <w:rsid w:val="00955678"/>
    <w:rsid w:val="00955809"/>
    <w:rsid w:val="009558D9"/>
    <w:rsid w:val="00955934"/>
    <w:rsid w:val="00956A1C"/>
    <w:rsid w:val="00956B60"/>
    <w:rsid w:val="00956F55"/>
    <w:rsid w:val="00957CDD"/>
    <w:rsid w:val="00957D1A"/>
    <w:rsid w:val="00957E30"/>
    <w:rsid w:val="00957E3D"/>
    <w:rsid w:val="00960307"/>
    <w:rsid w:val="0096075C"/>
    <w:rsid w:val="0096076E"/>
    <w:rsid w:val="0096132A"/>
    <w:rsid w:val="009618C6"/>
    <w:rsid w:val="00961ACA"/>
    <w:rsid w:val="00961CAB"/>
    <w:rsid w:val="00961E79"/>
    <w:rsid w:val="00961F7E"/>
    <w:rsid w:val="0096213A"/>
    <w:rsid w:val="009622A8"/>
    <w:rsid w:val="009622F0"/>
    <w:rsid w:val="00962388"/>
    <w:rsid w:val="009628BB"/>
    <w:rsid w:val="0096291B"/>
    <w:rsid w:val="00962E2A"/>
    <w:rsid w:val="00963366"/>
    <w:rsid w:val="00963719"/>
    <w:rsid w:val="00963D5B"/>
    <w:rsid w:val="00964301"/>
    <w:rsid w:val="009643A3"/>
    <w:rsid w:val="00964615"/>
    <w:rsid w:val="0096481B"/>
    <w:rsid w:val="00964C7B"/>
    <w:rsid w:val="00965B27"/>
    <w:rsid w:val="00965B51"/>
    <w:rsid w:val="00966011"/>
    <w:rsid w:val="009668A1"/>
    <w:rsid w:val="00966D65"/>
    <w:rsid w:val="00966FCC"/>
    <w:rsid w:val="00967890"/>
    <w:rsid w:val="00967B59"/>
    <w:rsid w:val="0097018D"/>
    <w:rsid w:val="009701B4"/>
    <w:rsid w:val="00970B18"/>
    <w:rsid w:val="0097102F"/>
    <w:rsid w:val="00971273"/>
    <w:rsid w:val="009713AF"/>
    <w:rsid w:val="009716D8"/>
    <w:rsid w:val="009721C0"/>
    <w:rsid w:val="0097227C"/>
    <w:rsid w:val="0097248C"/>
    <w:rsid w:val="00972A28"/>
    <w:rsid w:val="009736CA"/>
    <w:rsid w:val="00973800"/>
    <w:rsid w:val="00973A95"/>
    <w:rsid w:val="00973C7C"/>
    <w:rsid w:val="0097458E"/>
    <w:rsid w:val="00975034"/>
    <w:rsid w:val="00975856"/>
    <w:rsid w:val="009760E4"/>
    <w:rsid w:val="00976418"/>
    <w:rsid w:val="00976575"/>
    <w:rsid w:val="009766DA"/>
    <w:rsid w:val="00976747"/>
    <w:rsid w:val="00976E05"/>
    <w:rsid w:val="00977AA3"/>
    <w:rsid w:val="00980081"/>
    <w:rsid w:val="009804AA"/>
    <w:rsid w:val="0098065F"/>
    <w:rsid w:val="0098085B"/>
    <w:rsid w:val="009810D4"/>
    <w:rsid w:val="00981231"/>
    <w:rsid w:val="00981333"/>
    <w:rsid w:val="0098197E"/>
    <w:rsid w:val="00981B61"/>
    <w:rsid w:val="00981FD1"/>
    <w:rsid w:val="00982076"/>
    <w:rsid w:val="0098253F"/>
    <w:rsid w:val="00983219"/>
    <w:rsid w:val="0098330E"/>
    <w:rsid w:val="00983536"/>
    <w:rsid w:val="00984385"/>
    <w:rsid w:val="009848AE"/>
    <w:rsid w:val="00984EA5"/>
    <w:rsid w:val="00984F87"/>
    <w:rsid w:val="00985922"/>
    <w:rsid w:val="00985C45"/>
    <w:rsid w:val="0098624D"/>
    <w:rsid w:val="009867C6"/>
    <w:rsid w:val="00986A83"/>
    <w:rsid w:val="00986E62"/>
    <w:rsid w:val="0098703B"/>
    <w:rsid w:val="009870B7"/>
    <w:rsid w:val="009872E3"/>
    <w:rsid w:val="00987C05"/>
    <w:rsid w:val="00990A7E"/>
    <w:rsid w:val="009915EA"/>
    <w:rsid w:val="00991A27"/>
    <w:rsid w:val="00991AE7"/>
    <w:rsid w:val="00991C9E"/>
    <w:rsid w:val="009920DC"/>
    <w:rsid w:val="0099217F"/>
    <w:rsid w:val="009922F9"/>
    <w:rsid w:val="00992470"/>
    <w:rsid w:val="009925A0"/>
    <w:rsid w:val="00993759"/>
    <w:rsid w:val="0099395D"/>
    <w:rsid w:val="00993BB4"/>
    <w:rsid w:val="00993F4F"/>
    <w:rsid w:val="00993F6F"/>
    <w:rsid w:val="0099463D"/>
    <w:rsid w:val="00995449"/>
    <w:rsid w:val="00995814"/>
    <w:rsid w:val="009960B9"/>
    <w:rsid w:val="00996505"/>
    <w:rsid w:val="00996E78"/>
    <w:rsid w:val="00996F1A"/>
    <w:rsid w:val="009A0331"/>
    <w:rsid w:val="009A0621"/>
    <w:rsid w:val="009A128C"/>
    <w:rsid w:val="009A1302"/>
    <w:rsid w:val="009A15A9"/>
    <w:rsid w:val="009A1C56"/>
    <w:rsid w:val="009A1F53"/>
    <w:rsid w:val="009A2293"/>
    <w:rsid w:val="009A25E1"/>
    <w:rsid w:val="009A2615"/>
    <w:rsid w:val="009A377D"/>
    <w:rsid w:val="009A412D"/>
    <w:rsid w:val="009A443C"/>
    <w:rsid w:val="009A4A65"/>
    <w:rsid w:val="009A59FA"/>
    <w:rsid w:val="009A5A63"/>
    <w:rsid w:val="009A5A6A"/>
    <w:rsid w:val="009A5AFA"/>
    <w:rsid w:val="009A5CDB"/>
    <w:rsid w:val="009A6150"/>
    <w:rsid w:val="009A627B"/>
    <w:rsid w:val="009A679A"/>
    <w:rsid w:val="009A72B5"/>
    <w:rsid w:val="009A73BD"/>
    <w:rsid w:val="009A73EA"/>
    <w:rsid w:val="009A7DEB"/>
    <w:rsid w:val="009B0813"/>
    <w:rsid w:val="009B0C3A"/>
    <w:rsid w:val="009B0D8A"/>
    <w:rsid w:val="009B0E87"/>
    <w:rsid w:val="009B106B"/>
    <w:rsid w:val="009B18AF"/>
    <w:rsid w:val="009B1B33"/>
    <w:rsid w:val="009B1D19"/>
    <w:rsid w:val="009B2557"/>
    <w:rsid w:val="009B2867"/>
    <w:rsid w:val="009B30A4"/>
    <w:rsid w:val="009B3597"/>
    <w:rsid w:val="009B3646"/>
    <w:rsid w:val="009B37E8"/>
    <w:rsid w:val="009B3811"/>
    <w:rsid w:val="009B3904"/>
    <w:rsid w:val="009B39F7"/>
    <w:rsid w:val="009B3A62"/>
    <w:rsid w:val="009B3E3E"/>
    <w:rsid w:val="009B41CF"/>
    <w:rsid w:val="009B41F9"/>
    <w:rsid w:val="009B431E"/>
    <w:rsid w:val="009B4757"/>
    <w:rsid w:val="009B4B06"/>
    <w:rsid w:val="009B4BD9"/>
    <w:rsid w:val="009B5E68"/>
    <w:rsid w:val="009B6B17"/>
    <w:rsid w:val="009B73F8"/>
    <w:rsid w:val="009B7A4E"/>
    <w:rsid w:val="009C05A5"/>
    <w:rsid w:val="009C06C4"/>
    <w:rsid w:val="009C0A64"/>
    <w:rsid w:val="009C0CFA"/>
    <w:rsid w:val="009C15BB"/>
    <w:rsid w:val="009C1A3B"/>
    <w:rsid w:val="009C1C5C"/>
    <w:rsid w:val="009C1E7F"/>
    <w:rsid w:val="009C2056"/>
    <w:rsid w:val="009C2244"/>
    <w:rsid w:val="009C260C"/>
    <w:rsid w:val="009C2745"/>
    <w:rsid w:val="009C2763"/>
    <w:rsid w:val="009C27D7"/>
    <w:rsid w:val="009C2E43"/>
    <w:rsid w:val="009C3129"/>
    <w:rsid w:val="009C3612"/>
    <w:rsid w:val="009C3A2E"/>
    <w:rsid w:val="009C3B99"/>
    <w:rsid w:val="009C4017"/>
    <w:rsid w:val="009C44A6"/>
    <w:rsid w:val="009C44B5"/>
    <w:rsid w:val="009C46DD"/>
    <w:rsid w:val="009C4A1E"/>
    <w:rsid w:val="009C4BF6"/>
    <w:rsid w:val="009C5271"/>
    <w:rsid w:val="009C56D2"/>
    <w:rsid w:val="009C5800"/>
    <w:rsid w:val="009C5E75"/>
    <w:rsid w:val="009C6453"/>
    <w:rsid w:val="009C77D6"/>
    <w:rsid w:val="009C78A0"/>
    <w:rsid w:val="009D0019"/>
    <w:rsid w:val="009D072B"/>
    <w:rsid w:val="009D0861"/>
    <w:rsid w:val="009D0ACB"/>
    <w:rsid w:val="009D0DC4"/>
    <w:rsid w:val="009D12CD"/>
    <w:rsid w:val="009D1957"/>
    <w:rsid w:val="009D1F1C"/>
    <w:rsid w:val="009D227F"/>
    <w:rsid w:val="009D2E04"/>
    <w:rsid w:val="009D3363"/>
    <w:rsid w:val="009D3C62"/>
    <w:rsid w:val="009D3D9F"/>
    <w:rsid w:val="009D5DB8"/>
    <w:rsid w:val="009D5F4F"/>
    <w:rsid w:val="009D5FF3"/>
    <w:rsid w:val="009D618D"/>
    <w:rsid w:val="009D6376"/>
    <w:rsid w:val="009D64C5"/>
    <w:rsid w:val="009D6634"/>
    <w:rsid w:val="009D66AE"/>
    <w:rsid w:val="009D7237"/>
    <w:rsid w:val="009D7721"/>
    <w:rsid w:val="009D78E1"/>
    <w:rsid w:val="009D792B"/>
    <w:rsid w:val="009E00D4"/>
    <w:rsid w:val="009E01A0"/>
    <w:rsid w:val="009E02BE"/>
    <w:rsid w:val="009E063B"/>
    <w:rsid w:val="009E0A90"/>
    <w:rsid w:val="009E1723"/>
    <w:rsid w:val="009E207F"/>
    <w:rsid w:val="009E21B1"/>
    <w:rsid w:val="009E26EF"/>
    <w:rsid w:val="009E274F"/>
    <w:rsid w:val="009E2C15"/>
    <w:rsid w:val="009E2D80"/>
    <w:rsid w:val="009E2E38"/>
    <w:rsid w:val="009E3605"/>
    <w:rsid w:val="009E54DA"/>
    <w:rsid w:val="009E5D71"/>
    <w:rsid w:val="009E6F55"/>
    <w:rsid w:val="009E7586"/>
    <w:rsid w:val="009F004C"/>
    <w:rsid w:val="009F0B6D"/>
    <w:rsid w:val="009F1414"/>
    <w:rsid w:val="009F1528"/>
    <w:rsid w:val="009F16AB"/>
    <w:rsid w:val="009F16F8"/>
    <w:rsid w:val="009F1ED2"/>
    <w:rsid w:val="009F2835"/>
    <w:rsid w:val="009F28ED"/>
    <w:rsid w:val="009F2C10"/>
    <w:rsid w:val="009F2F2F"/>
    <w:rsid w:val="009F3233"/>
    <w:rsid w:val="009F33C2"/>
    <w:rsid w:val="009F381D"/>
    <w:rsid w:val="009F3F0E"/>
    <w:rsid w:val="009F4613"/>
    <w:rsid w:val="009F4667"/>
    <w:rsid w:val="009F5480"/>
    <w:rsid w:val="009F56FC"/>
    <w:rsid w:val="009F5733"/>
    <w:rsid w:val="009F5A68"/>
    <w:rsid w:val="009F5F22"/>
    <w:rsid w:val="009F6BA9"/>
    <w:rsid w:val="009F6E62"/>
    <w:rsid w:val="009F7536"/>
    <w:rsid w:val="009F7942"/>
    <w:rsid w:val="009F7967"/>
    <w:rsid w:val="009F7DBE"/>
    <w:rsid w:val="009F7DFA"/>
    <w:rsid w:val="00A0031C"/>
    <w:rsid w:val="00A0048F"/>
    <w:rsid w:val="00A00F8D"/>
    <w:rsid w:val="00A011CF"/>
    <w:rsid w:val="00A0139E"/>
    <w:rsid w:val="00A0167B"/>
    <w:rsid w:val="00A01AFA"/>
    <w:rsid w:val="00A022B3"/>
    <w:rsid w:val="00A0232F"/>
    <w:rsid w:val="00A02669"/>
    <w:rsid w:val="00A03C75"/>
    <w:rsid w:val="00A0409D"/>
    <w:rsid w:val="00A04682"/>
    <w:rsid w:val="00A047F4"/>
    <w:rsid w:val="00A049F3"/>
    <w:rsid w:val="00A04F61"/>
    <w:rsid w:val="00A057C5"/>
    <w:rsid w:val="00A05948"/>
    <w:rsid w:val="00A05E9F"/>
    <w:rsid w:val="00A05F79"/>
    <w:rsid w:val="00A06066"/>
    <w:rsid w:val="00A06934"/>
    <w:rsid w:val="00A06F58"/>
    <w:rsid w:val="00A06FA8"/>
    <w:rsid w:val="00A077B5"/>
    <w:rsid w:val="00A07A28"/>
    <w:rsid w:val="00A07AFE"/>
    <w:rsid w:val="00A07C66"/>
    <w:rsid w:val="00A10587"/>
    <w:rsid w:val="00A10753"/>
    <w:rsid w:val="00A10C58"/>
    <w:rsid w:val="00A10F9F"/>
    <w:rsid w:val="00A11410"/>
    <w:rsid w:val="00A11C6A"/>
    <w:rsid w:val="00A121E9"/>
    <w:rsid w:val="00A12A55"/>
    <w:rsid w:val="00A12BE5"/>
    <w:rsid w:val="00A133D3"/>
    <w:rsid w:val="00A13523"/>
    <w:rsid w:val="00A14536"/>
    <w:rsid w:val="00A14835"/>
    <w:rsid w:val="00A14920"/>
    <w:rsid w:val="00A14985"/>
    <w:rsid w:val="00A149AF"/>
    <w:rsid w:val="00A14B5F"/>
    <w:rsid w:val="00A14DFB"/>
    <w:rsid w:val="00A15158"/>
    <w:rsid w:val="00A151CD"/>
    <w:rsid w:val="00A15279"/>
    <w:rsid w:val="00A15635"/>
    <w:rsid w:val="00A15DB6"/>
    <w:rsid w:val="00A15FDF"/>
    <w:rsid w:val="00A16527"/>
    <w:rsid w:val="00A16D67"/>
    <w:rsid w:val="00A171DF"/>
    <w:rsid w:val="00A17CEC"/>
    <w:rsid w:val="00A17F0A"/>
    <w:rsid w:val="00A21145"/>
    <w:rsid w:val="00A21682"/>
    <w:rsid w:val="00A21B37"/>
    <w:rsid w:val="00A21DD2"/>
    <w:rsid w:val="00A225C9"/>
    <w:rsid w:val="00A22638"/>
    <w:rsid w:val="00A2284D"/>
    <w:rsid w:val="00A22B2F"/>
    <w:rsid w:val="00A22B93"/>
    <w:rsid w:val="00A234DC"/>
    <w:rsid w:val="00A23573"/>
    <w:rsid w:val="00A23575"/>
    <w:rsid w:val="00A23A7B"/>
    <w:rsid w:val="00A242B4"/>
    <w:rsid w:val="00A24364"/>
    <w:rsid w:val="00A24365"/>
    <w:rsid w:val="00A2443C"/>
    <w:rsid w:val="00A248BE"/>
    <w:rsid w:val="00A24AC8"/>
    <w:rsid w:val="00A25CF9"/>
    <w:rsid w:val="00A25D1E"/>
    <w:rsid w:val="00A25D89"/>
    <w:rsid w:val="00A268E5"/>
    <w:rsid w:val="00A2692E"/>
    <w:rsid w:val="00A26AE1"/>
    <w:rsid w:val="00A26DC9"/>
    <w:rsid w:val="00A27220"/>
    <w:rsid w:val="00A27A52"/>
    <w:rsid w:val="00A27D52"/>
    <w:rsid w:val="00A27F71"/>
    <w:rsid w:val="00A30026"/>
    <w:rsid w:val="00A30237"/>
    <w:rsid w:val="00A30BC8"/>
    <w:rsid w:val="00A30DD9"/>
    <w:rsid w:val="00A31262"/>
    <w:rsid w:val="00A313FE"/>
    <w:rsid w:val="00A318DE"/>
    <w:rsid w:val="00A319C9"/>
    <w:rsid w:val="00A31EE4"/>
    <w:rsid w:val="00A32111"/>
    <w:rsid w:val="00A324E3"/>
    <w:rsid w:val="00A34289"/>
    <w:rsid w:val="00A34628"/>
    <w:rsid w:val="00A349C2"/>
    <w:rsid w:val="00A34D49"/>
    <w:rsid w:val="00A3510A"/>
    <w:rsid w:val="00A35583"/>
    <w:rsid w:val="00A355E6"/>
    <w:rsid w:val="00A356FD"/>
    <w:rsid w:val="00A361A1"/>
    <w:rsid w:val="00A361DA"/>
    <w:rsid w:val="00A364C5"/>
    <w:rsid w:val="00A36543"/>
    <w:rsid w:val="00A36DF5"/>
    <w:rsid w:val="00A36E01"/>
    <w:rsid w:val="00A372B3"/>
    <w:rsid w:val="00A37317"/>
    <w:rsid w:val="00A37424"/>
    <w:rsid w:val="00A37DB8"/>
    <w:rsid w:val="00A37ED1"/>
    <w:rsid w:val="00A4030F"/>
    <w:rsid w:val="00A404B5"/>
    <w:rsid w:val="00A40AF4"/>
    <w:rsid w:val="00A41308"/>
    <w:rsid w:val="00A413C2"/>
    <w:rsid w:val="00A41DC2"/>
    <w:rsid w:val="00A4338D"/>
    <w:rsid w:val="00A43986"/>
    <w:rsid w:val="00A43DB5"/>
    <w:rsid w:val="00A4406F"/>
    <w:rsid w:val="00A441E3"/>
    <w:rsid w:val="00A443FD"/>
    <w:rsid w:val="00A44445"/>
    <w:rsid w:val="00A4495E"/>
    <w:rsid w:val="00A4592F"/>
    <w:rsid w:val="00A45B31"/>
    <w:rsid w:val="00A45F0E"/>
    <w:rsid w:val="00A45FA6"/>
    <w:rsid w:val="00A46839"/>
    <w:rsid w:val="00A46849"/>
    <w:rsid w:val="00A46D16"/>
    <w:rsid w:val="00A47BE4"/>
    <w:rsid w:val="00A47CA6"/>
    <w:rsid w:val="00A47EA2"/>
    <w:rsid w:val="00A47EC3"/>
    <w:rsid w:val="00A502A1"/>
    <w:rsid w:val="00A50C08"/>
    <w:rsid w:val="00A50CBE"/>
    <w:rsid w:val="00A51791"/>
    <w:rsid w:val="00A523E3"/>
    <w:rsid w:val="00A52601"/>
    <w:rsid w:val="00A52873"/>
    <w:rsid w:val="00A529E6"/>
    <w:rsid w:val="00A52AA5"/>
    <w:rsid w:val="00A52FCE"/>
    <w:rsid w:val="00A534F7"/>
    <w:rsid w:val="00A53959"/>
    <w:rsid w:val="00A53EFB"/>
    <w:rsid w:val="00A54034"/>
    <w:rsid w:val="00A54198"/>
    <w:rsid w:val="00A54243"/>
    <w:rsid w:val="00A542DD"/>
    <w:rsid w:val="00A543B3"/>
    <w:rsid w:val="00A54AA8"/>
    <w:rsid w:val="00A54C25"/>
    <w:rsid w:val="00A54C89"/>
    <w:rsid w:val="00A55788"/>
    <w:rsid w:val="00A55DD5"/>
    <w:rsid w:val="00A5637B"/>
    <w:rsid w:val="00A56598"/>
    <w:rsid w:val="00A566F4"/>
    <w:rsid w:val="00A56E6B"/>
    <w:rsid w:val="00A570BF"/>
    <w:rsid w:val="00A5713E"/>
    <w:rsid w:val="00A571C3"/>
    <w:rsid w:val="00A57D32"/>
    <w:rsid w:val="00A60B8D"/>
    <w:rsid w:val="00A60DBE"/>
    <w:rsid w:val="00A610A1"/>
    <w:rsid w:val="00A619C4"/>
    <w:rsid w:val="00A629C0"/>
    <w:rsid w:val="00A62BDD"/>
    <w:rsid w:val="00A62C9E"/>
    <w:rsid w:val="00A63414"/>
    <w:rsid w:val="00A63438"/>
    <w:rsid w:val="00A63543"/>
    <w:rsid w:val="00A63839"/>
    <w:rsid w:val="00A63AD4"/>
    <w:rsid w:val="00A641A3"/>
    <w:rsid w:val="00A644FA"/>
    <w:rsid w:val="00A64A59"/>
    <w:rsid w:val="00A64A63"/>
    <w:rsid w:val="00A64C79"/>
    <w:rsid w:val="00A64DAD"/>
    <w:rsid w:val="00A6511F"/>
    <w:rsid w:val="00A653C9"/>
    <w:rsid w:val="00A655DF"/>
    <w:rsid w:val="00A6573C"/>
    <w:rsid w:val="00A65E24"/>
    <w:rsid w:val="00A66116"/>
    <w:rsid w:val="00A66223"/>
    <w:rsid w:val="00A66254"/>
    <w:rsid w:val="00A663F8"/>
    <w:rsid w:val="00A670E8"/>
    <w:rsid w:val="00A6729B"/>
    <w:rsid w:val="00A67663"/>
    <w:rsid w:val="00A6796F"/>
    <w:rsid w:val="00A707FA"/>
    <w:rsid w:val="00A70B50"/>
    <w:rsid w:val="00A71B5D"/>
    <w:rsid w:val="00A71B98"/>
    <w:rsid w:val="00A71C39"/>
    <w:rsid w:val="00A72204"/>
    <w:rsid w:val="00A7251D"/>
    <w:rsid w:val="00A725EA"/>
    <w:rsid w:val="00A72FD3"/>
    <w:rsid w:val="00A732D7"/>
    <w:rsid w:val="00A738EB"/>
    <w:rsid w:val="00A73EE3"/>
    <w:rsid w:val="00A7423A"/>
    <w:rsid w:val="00A742D8"/>
    <w:rsid w:val="00A74631"/>
    <w:rsid w:val="00A748D5"/>
    <w:rsid w:val="00A74A65"/>
    <w:rsid w:val="00A74BA8"/>
    <w:rsid w:val="00A751BA"/>
    <w:rsid w:val="00A75D9D"/>
    <w:rsid w:val="00A76E38"/>
    <w:rsid w:val="00A770FE"/>
    <w:rsid w:val="00A77332"/>
    <w:rsid w:val="00A77368"/>
    <w:rsid w:val="00A777E6"/>
    <w:rsid w:val="00A779B4"/>
    <w:rsid w:val="00A807CB"/>
    <w:rsid w:val="00A81105"/>
    <w:rsid w:val="00A8150C"/>
    <w:rsid w:val="00A81839"/>
    <w:rsid w:val="00A81872"/>
    <w:rsid w:val="00A818EC"/>
    <w:rsid w:val="00A82682"/>
    <w:rsid w:val="00A828C8"/>
    <w:rsid w:val="00A82C97"/>
    <w:rsid w:val="00A83313"/>
    <w:rsid w:val="00A83672"/>
    <w:rsid w:val="00A83FCA"/>
    <w:rsid w:val="00A842DD"/>
    <w:rsid w:val="00A84477"/>
    <w:rsid w:val="00A847B6"/>
    <w:rsid w:val="00A84BB0"/>
    <w:rsid w:val="00A85060"/>
    <w:rsid w:val="00A857AD"/>
    <w:rsid w:val="00A858CF"/>
    <w:rsid w:val="00A85B8F"/>
    <w:rsid w:val="00A85C06"/>
    <w:rsid w:val="00A85F04"/>
    <w:rsid w:val="00A865BD"/>
    <w:rsid w:val="00A8675B"/>
    <w:rsid w:val="00A86915"/>
    <w:rsid w:val="00A869D3"/>
    <w:rsid w:val="00A86A80"/>
    <w:rsid w:val="00A86F5C"/>
    <w:rsid w:val="00A87DD1"/>
    <w:rsid w:val="00A905C3"/>
    <w:rsid w:val="00A9067D"/>
    <w:rsid w:val="00A9090E"/>
    <w:rsid w:val="00A90CE5"/>
    <w:rsid w:val="00A90D46"/>
    <w:rsid w:val="00A910E6"/>
    <w:rsid w:val="00A91249"/>
    <w:rsid w:val="00A91704"/>
    <w:rsid w:val="00A91BBE"/>
    <w:rsid w:val="00A92469"/>
    <w:rsid w:val="00A92D9E"/>
    <w:rsid w:val="00A930E5"/>
    <w:rsid w:val="00A934D0"/>
    <w:rsid w:val="00A93638"/>
    <w:rsid w:val="00A93ABE"/>
    <w:rsid w:val="00A93C0C"/>
    <w:rsid w:val="00A941F9"/>
    <w:rsid w:val="00A9468F"/>
    <w:rsid w:val="00A94848"/>
    <w:rsid w:val="00A948B3"/>
    <w:rsid w:val="00A94D6C"/>
    <w:rsid w:val="00A9554C"/>
    <w:rsid w:val="00A95932"/>
    <w:rsid w:val="00A96569"/>
    <w:rsid w:val="00A96E38"/>
    <w:rsid w:val="00A97268"/>
    <w:rsid w:val="00A978D1"/>
    <w:rsid w:val="00A97BAC"/>
    <w:rsid w:val="00A97F6C"/>
    <w:rsid w:val="00AA0152"/>
    <w:rsid w:val="00AA02C0"/>
    <w:rsid w:val="00AA0509"/>
    <w:rsid w:val="00AA154D"/>
    <w:rsid w:val="00AA1B54"/>
    <w:rsid w:val="00AA2901"/>
    <w:rsid w:val="00AA2A51"/>
    <w:rsid w:val="00AA2BDE"/>
    <w:rsid w:val="00AA31A5"/>
    <w:rsid w:val="00AA324A"/>
    <w:rsid w:val="00AA350F"/>
    <w:rsid w:val="00AA39FB"/>
    <w:rsid w:val="00AA4005"/>
    <w:rsid w:val="00AA4D3D"/>
    <w:rsid w:val="00AA5467"/>
    <w:rsid w:val="00AA5A3F"/>
    <w:rsid w:val="00AA5DA5"/>
    <w:rsid w:val="00AA6039"/>
    <w:rsid w:val="00AA63E0"/>
    <w:rsid w:val="00AA664D"/>
    <w:rsid w:val="00AA69AF"/>
    <w:rsid w:val="00AA7395"/>
    <w:rsid w:val="00AA7713"/>
    <w:rsid w:val="00AA778A"/>
    <w:rsid w:val="00AA77C9"/>
    <w:rsid w:val="00AA7BC7"/>
    <w:rsid w:val="00AA7E5C"/>
    <w:rsid w:val="00AA7F0E"/>
    <w:rsid w:val="00AB0869"/>
    <w:rsid w:val="00AB0891"/>
    <w:rsid w:val="00AB08AA"/>
    <w:rsid w:val="00AB0929"/>
    <w:rsid w:val="00AB14FC"/>
    <w:rsid w:val="00AB1B6B"/>
    <w:rsid w:val="00AB2221"/>
    <w:rsid w:val="00AB26F3"/>
    <w:rsid w:val="00AB2A39"/>
    <w:rsid w:val="00AB2FC2"/>
    <w:rsid w:val="00AB3170"/>
    <w:rsid w:val="00AB3256"/>
    <w:rsid w:val="00AB35BC"/>
    <w:rsid w:val="00AB35FF"/>
    <w:rsid w:val="00AB3691"/>
    <w:rsid w:val="00AB3E9F"/>
    <w:rsid w:val="00AB455B"/>
    <w:rsid w:val="00AB4A75"/>
    <w:rsid w:val="00AB5076"/>
    <w:rsid w:val="00AB52C2"/>
    <w:rsid w:val="00AB558D"/>
    <w:rsid w:val="00AB581C"/>
    <w:rsid w:val="00AB63E0"/>
    <w:rsid w:val="00AB69DE"/>
    <w:rsid w:val="00AB6D48"/>
    <w:rsid w:val="00AB6E03"/>
    <w:rsid w:val="00AB7000"/>
    <w:rsid w:val="00AB717F"/>
    <w:rsid w:val="00AB7255"/>
    <w:rsid w:val="00AC01FE"/>
    <w:rsid w:val="00AC0CEB"/>
    <w:rsid w:val="00AC12BB"/>
    <w:rsid w:val="00AC19A4"/>
    <w:rsid w:val="00AC3365"/>
    <w:rsid w:val="00AC3505"/>
    <w:rsid w:val="00AC3A3D"/>
    <w:rsid w:val="00AC3D02"/>
    <w:rsid w:val="00AC3DF7"/>
    <w:rsid w:val="00AC46AE"/>
    <w:rsid w:val="00AC4B22"/>
    <w:rsid w:val="00AC500C"/>
    <w:rsid w:val="00AC53FD"/>
    <w:rsid w:val="00AC5652"/>
    <w:rsid w:val="00AC5657"/>
    <w:rsid w:val="00AC56ED"/>
    <w:rsid w:val="00AC5891"/>
    <w:rsid w:val="00AC58C0"/>
    <w:rsid w:val="00AC595E"/>
    <w:rsid w:val="00AC5AC4"/>
    <w:rsid w:val="00AC5B53"/>
    <w:rsid w:val="00AC6378"/>
    <w:rsid w:val="00AC6642"/>
    <w:rsid w:val="00AC6676"/>
    <w:rsid w:val="00AC68D8"/>
    <w:rsid w:val="00AC6934"/>
    <w:rsid w:val="00AC6B94"/>
    <w:rsid w:val="00AC7D83"/>
    <w:rsid w:val="00AC7E47"/>
    <w:rsid w:val="00AD008F"/>
    <w:rsid w:val="00AD01A8"/>
    <w:rsid w:val="00AD0745"/>
    <w:rsid w:val="00AD0990"/>
    <w:rsid w:val="00AD16E3"/>
    <w:rsid w:val="00AD2071"/>
    <w:rsid w:val="00AD237D"/>
    <w:rsid w:val="00AD2E26"/>
    <w:rsid w:val="00AD2F70"/>
    <w:rsid w:val="00AD310E"/>
    <w:rsid w:val="00AD3251"/>
    <w:rsid w:val="00AD3609"/>
    <w:rsid w:val="00AD3B3D"/>
    <w:rsid w:val="00AD3E05"/>
    <w:rsid w:val="00AD400C"/>
    <w:rsid w:val="00AD4547"/>
    <w:rsid w:val="00AD45E1"/>
    <w:rsid w:val="00AD4931"/>
    <w:rsid w:val="00AD4982"/>
    <w:rsid w:val="00AD4A45"/>
    <w:rsid w:val="00AD509D"/>
    <w:rsid w:val="00AD5D9B"/>
    <w:rsid w:val="00AD5FD4"/>
    <w:rsid w:val="00AD60A5"/>
    <w:rsid w:val="00AD60BF"/>
    <w:rsid w:val="00AD615F"/>
    <w:rsid w:val="00AD6212"/>
    <w:rsid w:val="00AD6EFB"/>
    <w:rsid w:val="00AD75BE"/>
    <w:rsid w:val="00AD7644"/>
    <w:rsid w:val="00AD7AE7"/>
    <w:rsid w:val="00AD7D1C"/>
    <w:rsid w:val="00AD7D95"/>
    <w:rsid w:val="00AE0115"/>
    <w:rsid w:val="00AE02B0"/>
    <w:rsid w:val="00AE0D12"/>
    <w:rsid w:val="00AE0EDD"/>
    <w:rsid w:val="00AE0FB4"/>
    <w:rsid w:val="00AE10DB"/>
    <w:rsid w:val="00AE12FA"/>
    <w:rsid w:val="00AE16CD"/>
    <w:rsid w:val="00AE1CEA"/>
    <w:rsid w:val="00AE21E9"/>
    <w:rsid w:val="00AE290D"/>
    <w:rsid w:val="00AE314F"/>
    <w:rsid w:val="00AE36E7"/>
    <w:rsid w:val="00AE391B"/>
    <w:rsid w:val="00AE45A8"/>
    <w:rsid w:val="00AE49AF"/>
    <w:rsid w:val="00AE4E9A"/>
    <w:rsid w:val="00AE4FA0"/>
    <w:rsid w:val="00AE53CF"/>
    <w:rsid w:val="00AE6383"/>
    <w:rsid w:val="00AE6A2F"/>
    <w:rsid w:val="00AE6A3B"/>
    <w:rsid w:val="00AE6E1A"/>
    <w:rsid w:val="00AE6EFB"/>
    <w:rsid w:val="00AE7143"/>
    <w:rsid w:val="00AE7176"/>
    <w:rsid w:val="00AE728B"/>
    <w:rsid w:val="00AF0697"/>
    <w:rsid w:val="00AF084E"/>
    <w:rsid w:val="00AF0CBA"/>
    <w:rsid w:val="00AF0EB4"/>
    <w:rsid w:val="00AF1475"/>
    <w:rsid w:val="00AF1BCE"/>
    <w:rsid w:val="00AF2B38"/>
    <w:rsid w:val="00AF2C4D"/>
    <w:rsid w:val="00AF3662"/>
    <w:rsid w:val="00AF36E8"/>
    <w:rsid w:val="00AF4641"/>
    <w:rsid w:val="00AF4B42"/>
    <w:rsid w:val="00AF5785"/>
    <w:rsid w:val="00AF5B48"/>
    <w:rsid w:val="00AF6F1E"/>
    <w:rsid w:val="00AF70E9"/>
    <w:rsid w:val="00AF7351"/>
    <w:rsid w:val="00AF7354"/>
    <w:rsid w:val="00AF7364"/>
    <w:rsid w:val="00AF7B76"/>
    <w:rsid w:val="00AF7F66"/>
    <w:rsid w:val="00B003A3"/>
    <w:rsid w:val="00B00890"/>
    <w:rsid w:val="00B008E4"/>
    <w:rsid w:val="00B00A2B"/>
    <w:rsid w:val="00B00CC4"/>
    <w:rsid w:val="00B00F10"/>
    <w:rsid w:val="00B00F42"/>
    <w:rsid w:val="00B0105F"/>
    <w:rsid w:val="00B012AA"/>
    <w:rsid w:val="00B0192E"/>
    <w:rsid w:val="00B01B93"/>
    <w:rsid w:val="00B02621"/>
    <w:rsid w:val="00B032C8"/>
    <w:rsid w:val="00B0380D"/>
    <w:rsid w:val="00B0391D"/>
    <w:rsid w:val="00B03B3E"/>
    <w:rsid w:val="00B03D91"/>
    <w:rsid w:val="00B03E6A"/>
    <w:rsid w:val="00B042BC"/>
    <w:rsid w:val="00B045C6"/>
    <w:rsid w:val="00B049F7"/>
    <w:rsid w:val="00B04C1B"/>
    <w:rsid w:val="00B04DCB"/>
    <w:rsid w:val="00B04F08"/>
    <w:rsid w:val="00B0508C"/>
    <w:rsid w:val="00B050C7"/>
    <w:rsid w:val="00B05674"/>
    <w:rsid w:val="00B06193"/>
    <w:rsid w:val="00B06DDD"/>
    <w:rsid w:val="00B0711F"/>
    <w:rsid w:val="00B071A0"/>
    <w:rsid w:val="00B1039E"/>
    <w:rsid w:val="00B104F2"/>
    <w:rsid w:val="00B111EA"/>
    <w:rsid w:val="00B115BE"/>
    <w:rsid w:val="00B1169E"/>
    <w:rsid w:val="00B128DC"/>
    <w:rsid w:val="00B13278"/>
    <w:rsid w:val="00B1328C"/>
    <w:rsid w:val="00B1379B"/>
    <w:rsid w:val="00B13990"/>
    <w:rsid w:val="00B14299"/>
    <w:rsid w:val="00B14379"/>
    <w:rsid w:val="00B145BF"/>
    <w:rsid w:val="00B1533C"/>
    <w:rsid w:val="00B1606C"/>
    <w:rsid w:val="00B1611C"/>
    <w:rsid w:val="00B161CC"/>
    <w:rsid w:val="00B16271"/>
    <w:rsid w:val="00B16D99"/>
    <w:rsid w:val="00B170BD"/>
    <w:rsid w:val="00B17454"/>
    <w:rsid w:val="00B17721"/>
    <w:rsid w:val="00B17AC2"/>
    <w:rsid w:val="00B17CEC"/>
    <w:rsid w:val="00B17EC1"/>
    <w:rsid w:val="00B20251"/>
    <w:rsid w:val="00B20B39"/>
    <w:rsid w:val="00B20EEE"/>
    <w:rsid w:val="00B21698"/>
    <w:rsid w:val="00B2169D"/>
    <w:rsid w:val="00B21B43"/>
    <w:rsid w:val="00B21C57"/>
    <w:rsid w:val="00B22573"/>
    <w:rsid w:val="00B22F6B"/>
    <w:rsid w:val="00B23990"/>
    <w:rsid w:val="00B239F2"/>
    <w:rsid w:val="00B23A82"/>
    <w:rsid w:val="00B23C67"/>
    <w:rsid w:val="00B24257"/>
    <w:rsid w:val="00B24303"/>
    <w:rsid w:val="00B2450C"/>
    <w:rsid w:val="00B245CD"/>
    <w:rsid w:val="00B24769"/>
    <w:rsid w:val="00B2488A"/>
    <w:rsid w:val="00B24907"/>
    <w:rsid w:val="00B253D8"/>
    <w:rsid w:val="00B257E3"/>
    <w:rsid w:val="00B25903"/>
    <w:rsid w:val="00B25D33"/>
    <w:rsid w:val="00B25DB3"/>
    <w:rsid w:val="00B25E54"/>
    <w:rsid w:val="00B2617D"/>
    <w:rsid w:val="00B26977"/>
    <w:rsid w:val="00B269ED"/>
    <w:rsid w:val="00B26AC4"/>
    <w:rsid w:val="00B26AF6"/>
    <w:rsid w:val="00B26BBD"/>
    <w:rsid w:val="00B27117"/>
    <w:rsid w:val="00B27CAE"/>
    <w:rsid w:val="00B27DFA"/>
    <w:rsid w:val="00B30A10"/>
    <w:rsid w:val="00B30D8D"/>
    <w:rsid w:val="00B30EF8"/>
    <w:rsid w:val="00B31219"/>
    <w:rsid w:val="00B314BC"/>
    <w:rsid w:val="00B31710"/>
    <w:rsid w:val="00B31887"/>
    <w:rsid w:val="00B319B8"/>
    <w:rsid w:val="00B31C5F"/>
    <w:rsid w:val="00B31E94"/>
    <w:rsid w:val="00B322D1"/>
    <w:rsid w:val="00B33227"/>
    <w:rsid w:val="00B33519"/>
    <w:rsid w:val="00B3352C"/>
    <w:rsid w:val="00B33B74"/>
    <w:rsid w:val="00B33EE8"/>
    <w:rsid w:val="00B34242"/>
    <w:rsid w:val="00B34620"/>
    <w:rsid w:val="00B34675"/>
    <w:rsid w:val="00B34BC4"/>
    <w:rsid w:val="00B34DC0"/>
    <w:rsid w:val="00B35405"/>
    <w:rsid w:val="00B357E5"/>
    <w:rsid w:val="00B35BD4"/>
    <w:rsid w:val="00B368B3"/>
    <w:rsid w:val="00B36962"/>
    <w:rsid w:val="00B3739F"/>
    <w:rsid w:val="00B378FE"/>
    <w:rsid w:val="00B40E3C"/>
    <w:rsid w:val="00B4166F"/>
    <w:rsid w:val="00B4199C"/>
    <w:rsid w:val="00B419E3"/>
    <w:rsid w:val="00B41F86"/>
    <w:rsid w:val="00B425A1"/>
    <w:rsid w:val="00B4275D"/>
    <w:rsid w:val="00B42A0D"/>
    <w:rsid w:val="00B42B73"/>
    <w:rsid w:val="00B42CD5"/>
    <w:rsid w:val="00B42DEC"/>
    <w:rsid w:val="00B43088"/>
    <w:rsid w:val="00B430A3"/>
    <w:rsid w:val="00B43B3D"/>
    <w:rsid w:val="00B4406B"/>
    <w:rsid w:val="00B440B9"/>
    <w:rsid w:val="00B446F3"/>
    <w:rsid w:val="00B44B9C"/>
    <w:rsid w:val="00B44E73"/>
    <w:rsid w:val="00B44E81"/>
    <w:rsid w:val="00B45B01"/>
    <w:rsid w:val="00B45D47"/>
    <w:rsid w:val="00B46950"/>
    <w:rsid w:val="00B46B5F"/>
    <w:rsid w:val="00B46B8D"/>
    <w:rsid w:val="00B47312"/>
    <w:rsid w:val="00B47753"/>
    <w:rsid w:val="00B50102"/>
    <w:rsid w:val="00B5011A"/>
    <w:rsid w:val="00B501B4"/>
    <w:rsid w:val="00B5109C"/>
    <w:rsid w:val="00B514C8"/>
    <w:rsid w:val="00B5171B"/>
    <w:rsid w:val="00B51DE5"/>
    <w:rsid w:val="00B51F81"/>
    <w:rsid w:val="00B52733"/>
    <w:rsid w:val="00B52982"/>
    <w:rsid w:val="00B52CCC"/>
    <w:rsid w:val="00B52CFC"/>
    <w:rsid w:val="00B52E71"/>
    <w:rsid w:val="00B5307C"/>
    <w:rsid w:val="00B531A7"/>
    <w:rsid w:val="00B5343C"/>
    <w:rsid w:val="00B53510"/>
    <w:rsid w:val="00B537C6"/>
    <w:rsid w:val="00B537D0"/>
    <w:rsid w:val="00B544F3"/>
    <w:rsid w:val="00B547D9"/>
    <w:rsid w:val="00B54DA9"/>
    <w:rsid w:val="00B54E6B"/>
    <w:rsid w:val="00B55086"/>
    <w:rsid w:val="00B55307"/>
    <w:rsid w:val="00B556E2"/>
    <w:rsid w:val="00B5593E"/>
    <w:rsid w:val="00B55BD4"/>
    <w:rsid w:val="00B55E6F"/>
    <w:rsid w:val="00B5658C"/>
    <w:rsid w:val="00B56843"/>
    <w:rsid w:val="00B56900"/>
    <w:rsid w:val="00B57068"/>
    <w:rsid w:val="00B570F6"/>
    <w:rsid w:val="00B571A4"/>
    <w:rsid w:val="00B5766B"/>
    <w:rsid w:val="00B57F0C"/>
    <w:rsid w:val="00B6007A"/>
    <w:rsid w:val="00B60418"/>
    <w:rsid w:val="00B60590"/>
    <w:rsid w:val="00B60846"/>
    <w:rsid w:val="00B60E28"/>
    <w:rsid w:val="00B6112E"/>
    <w:rsid w:val="00B612C3"/>
    <w:rsid w:val="00B6158E"/>
    <w:rsid w:val="00B617A3"/>
    <w:rsid w:val="00B61A42"/>
    <w:rsid w:val="00B61CFB"/>
    <w:rsid w:val="00B62121"/>
    <w:rsid w:val="00B62516"/>
    <w:rsid w:val="00B62A65"/>
    <w:rsid w:val="00B62ACA"/>
    <w:rsid w:val="00B62B6A"/>
    <w:rsid w:val="00B62C5E"/>
    <w:rsid w:val="00B62FDC"/>
    <w:rsid w:val="00B6301E"/>
    <w:rsid w:val="00B63290"/>
    <w:rsid w:val="00B63D2A"/>
    <w:rsid w:val="00B64659"/>
    <w:rsid w:val="00B657BA"/>
    <w:rsid w:val="00B65C93"/>
    <w:rsid w:val="00B65FD9"/>
    <w:rsid w:val="00B66659"/>
    <w:rsid w:val="00B666D2"/>
    <w:rsid w:val="00B667BB"/>
    <w:rsid w:val="00B66D4C"/>
    <w:rsid w:val="00B66F13"/>
    <w:rsid w:val="00B675DB"/>
    <w:rsid w:val="00B67685"/>
    <w:rsid w:val="00B677B5"/>
    <w:rsid w:val="00B67ACC"/>
    <w:rsid w:val="00B67E9B"/>
    <w:rsid w:val="00B67FEC"/>
    <w:rsid w:val="00B70009"/>
    <w:rsid w:val="00B70552"/>
    <w:rsid w:val="00B70738"/>
    <w:rsid w:val="00B709DF"/>
    <w:rsid w:val="00B713CE"/>
    <w:rsid w:val="00B71532"/>
    <w:rsid w:val="00B71C57"/>
    <w:rsid w:val="00B71C77"/>
    <w:rsid w:val="00B71DB2"/>
    <w:rsid w:val="00B71E6D"/>
    <w:rsid w:val="00B7212E"/>
    <w:rsid w:val="00B7217B"/>
    <w:rsid w:val="00B72736"/>
    <w:rsid w:val="00B72AFF"/>
    <w:rsid w:val="00B72F79"/>
    <w:rsid w:val="00B72F88"/>
    <w:rsid w:val="00B73132"/>
    <w:rsid w:val="00B7348C"/>
    <w:rsid w:val="00B736D6"/>
    <w:rsid w:val="00B73B15"/>
    <w:rsid w:val="00B740E4"/>
    <w:rsid w:val="00B746D5"/>
    <w:rsid w:val="00B74989"/>
    <w:rsid w:val="00B74B59"/>
    <w:rsid w:val="00B7526D"/>
    <w:rsid w:val="00B7535F"/>
    <w:rsid w:val="00B75977"/>
    <w:rsid w:val="00B759FB"/>
    <w:rsid w:val="00B75B16"/>
    <w:rsid w:val="00B75B2E"/>
    <w:rsid w:val="00B76101"/>
    <w:rsid w:val="00B76BA8"/>
    <w:rsid w:val="00B76BBA"/>
    <w:rsid w:val="00B76C42"/>
    <w:rsid w:val="00B76FA1"/>
    <w:rsid w:val="00B770B1"/>
    <w:rsid w:val="00B77430"/>
    <w:rsid w:val="00B77A92"/>
    <w:rsid w:val="00B803AC"/>
    <w:rsid w:val="00B8077B"/>
    <w:rsid w:val="00B80B06"/>
    <w:rsid w:val="00B80EA2"/>
    <w:rsid w:val="00B80EF8"/>
    <w:rsid w:val="00B810D7"/>
    <w:rsid w:val="00B8144D"/>
    <w:rsid w:val="00B814DC"/>
    <w:rsid w:val="00B82784"/>
    <w:rsid w:val="00B82ADA"/>
    <w:rsid w:val="00B83F15"/>
    <w:rsid w:val="00B83FE6"/>
    <w:rsid w:val="00B84328"/>
    <w:rsid w:val="00B847C0"/>
    <w:rsid w:val="00B84800"/>
    <w:rsid w:val="00B84A13"/>
    <w:rsid w:val="00B84B1E"/>
    <w:rsid w:val="00B860FF"/>
    <w:rsid w:val="00B872DB"/>
    <w:rsid w:val="00B87588"/>
    <w:rsid w:val="00B87CDD"/>
    <w:rsid w:val="00B90399"/>
    <w:rsid w:val="00B9075B"/>
    <w:rsid w:val="00B90FCB"/>
    <w:rsid w:val="00B91391"/>
    <w:rsid w:val="00B914BD"/>
    <w:rsid w:val="00B91789"/>
    <w:rsid w:val="00B91980"/>
    <w:rsid w:val="00B91C1F"/>
    <w:rsid w:val="00B920E4"/>
    <w:rsid w:val="00B9290D"/>
    <w:rsid w:val="00B929F8"/>
    <w:rsid w:val="00B92D62"/>
    <w:rsid w:val="00B935FB"/>
    <w:rsid w:val="00B9362F"/>
    <w:rsid w:val="00B939E3"/>
    <w:rsid w:val="00B9436D"/>
    <w:rsid w:val="00B94884"/>
    <w:rsid w:val="00B94AD3"/>
    <w:rsid w:val="00B94B29"/>
    <w:rsid w:val="00B94CA3"/>
    <w:rsid w:val="00B950EB"/>
    <w:rsid w:val="00B951B5"/>
    <w:rsid w:val="00B952CB"/>
    <w:rsid w:val="00B95370"/>
    <w:rsid w:val="00B95B55"/>
    <w:rsid w:val="00B961D3"/>
    <w:rsid w:val="00B97D8F"/>
    <w:rsid w:val="00BA019D"/>
    <w:rsid w:val="00BA0381"/>
    <w:rsid w:val="00BA0548"/>
    <w:rsid w:val="00BA055D"/>
    <w:rsid w:val="00BA0DC7"/>
    <w:rsid w:val="00BA1A47"/>
    <w:rsid w:val="00BA1BA8"/>
    <w:rsid w:val="00BA21C5"/>
    <w:rsid w:val="00BA254E"/>
    <w:rsid w:val="00BA2EE4"/>
    <w:rsid w:val="00BA32C0"/>
    <w:rsid w:val="00BA33EB"/>
    <w:rsid w:val="00BA38BC"/>
    <w:rsid w:val="00BA3AD7"/>
    <w:rsid w:val="00BA3B93"/>
    <w:rsid w:val="00BA4614"/>
    <w:rsid w:val="00BA48B9"/>
    <w:rsid w:val="00BA58FB"/>
    <w:rsid w:val="00BA64E8"/>
    <w:rsid w:val="00BA6CEF"/>
    <w:rsid w:val="00BA6F21"/>
    <w:rsid w:val="00BA75FA"/>
    <w:rsid w:val="00BA7A16"/>
    <w:rsid w:val="00BA7DFF"/>
    <w:rsid w:val="00BB03C9"/>
    <w:rsid w:val="00BB08F4"/>
    <w:rsid w:val="00BB0A9E"/>
    <w:rsid w:val="00BB0AAA"/>
    <w:rsid w:val="00BB0AE9"/>
    <w:rsid w:val="00BB0BF6"/>
    <w:rsid w:val="00BB106B"/>
    <w:rsid w:val="00BB11C1"/>
    <w:rsid w:val="00BB1505"/>
    <w:rsid w:val="00BB1874"/>
    <w:rsid w:val="00BB1CDB"/>
    <w:rsid w:val="00BB2A96"/>
    <w:rsid w:val="00BB33CF"/>
    <w:rsid w:val="00BB38AE"/>
    <w:rsid w:val="00BB46F1"/>
    <w:rsid w:val="00BB479B"/>
    <w:rsid w:val="00BB47AD"/>
    <w:rsid w:val="00BB4DA8"/>
    <w:rsid w:val="00BB51C6"/>
    <w:rsid w:val="00BB52B8"/>
    <w:rsid w:val="00BB55B3"/>
    <w:rsid w:val="00BB59F9"/>
    <w:rsid w:val="00BB5CD5"/>
    <w:rsid w:val="00BB624D"/>
    <w:rsid w:val="00BB6261"/>
    <w:rsid w:val="00BB6299"/>
    <w:rsid w:val="00BB7004"/>
    <w:rsid w:val="00BB7957"/>
    <w:rsid w:val="00BC0E0B"/>
    <w:rsid w:val="00BC1553"/>
    <w:rsid w:val="00BC1859"/>
    <w:rsid w:val="00BC186B"/>
    <w:rsid w:val="00BC1A5F"/>
    <w:rsid w:val="00BC1D0D"/>
    <w:rsid w:val="00BC20BD"/>
    <w:rsid w:val="00BC2332"/>
    <w:rsid w:val="00BC23DE"/>
    <w:rsid w:val="00BC2456"/>
    <w:rsid w:val="00BC25F4"/>
    <w:rsid w:val="00BC2FD4"/>
    <w:rsid w:val="00BC3138"/>
    <w:rsid w:val="00BC322C"/>
    <w:rsid w:val="00BC32BA"/>
    <w:rsid w:val="00BC33B8"/>
    <w:rsid w:val="00BC360E"/>
    <w:rsid w:val="00BC402E"/>
    <w:rsid w:val="00BC40E9"/>
    <w:rsid w:val="00BC4122"/>
    <w:rsid w:val="00BC4B54"/>
    <w:rsid w:val="00BC4BFD"/>
    <w:rsid w:val="00BC5064"/>
    <w:rsid w:val="00BC52F2"/>
    <w:rsid w:val="00BC54C6"/>
    <w:rsid w:val="00BC561D"/>
    <w:rsid w:val="00BC5BEB"/>
    <w:rsid w:val="00BC5E3E"/>
    <w:rsid w:val="00BC60F2"/>
    <w:rsid w:val="00BC6151"/>
    <w:rsid w:val="00BC64FC"/>
    <w:rsid w:val="00BC677D"/>
    <w:rsid w:val="00BC68D0"/>
    <w:rsid w:val="00BC69B9"/>
    <w:rsid w:val="00BC6C13"/>
    <w:rsid w:val="00BC6F95"/>
    <w:rsid w:val="00BC74BC"/>
    <w:rsid w:val="00BD06E5"/>
    <w:rsid w:val="00BD0B5C"/>
    <w:rsid w:val="00BD0BC2"/>
    <w:rsid w:val="00BD1164"/>
    <w:rsid w:val="00BD1362"/>
    <w:rsid w:val="00BD1EE1"/>
    <w:rsid w:val="00BD2EB6"/>
    <w:rsid w:val="00BD2EC1"/>
    <w:rsid w:val="00BD32B7"/>
    <w:rsid w:val="00BD33F2"/>
    <w:rsid w:val="00BD35EF"/>
    <w:rsid w:val="00BD3944"/>
    <w:rsid w:val="00BD3AD5"/>
    <w:rsid w:val="00BD3B9F"/>
    <w:rsid w:val="00BD3F9C"/>
    <w:rsid w:val="00BD42F0"/>
    <w:rsid w:val="00BD431A"/>
    <w:rsid w:val="00BD4EB4"/>
    <w:rsid w:val="00BD54D1"/>
    <w:rsid w:val="00BD5FA4"/>
    <w:rsid w:val="00BD61BE"/>
    <w:rsid w:val="00BD6B8E"/>
    <w:rsid w:val="00BD6F4A"/>
    <w:rsid w:val="00BD7101"/>
    <w:rsid w:val="00BD76F0"/>
    <w:rsid w:val="00BD7865"/>
    <w:rsid w:val="00BD78D5"/>
    <w:rsid w:val="00BD78DB"/>
    <w:rsid w:val="00BD7F46"/>
    <w:rsid w:val="00BE0523"/>
    <w:rsid w:val="00BE087B"/>
    <w:rsid w:val="00BE08AC"/>
    <w:rsid w:val="00BE0A00"/>
    <w:rsid w:val="00BE0B5B"/>
    <w:rsid w:val="00BE0B64"/>
    <w:rsid w:val="00BE15A6"/>
    <w:rsid w:val="00BE1F81"/>
    <w:rsid w:val="00BE24F5"/>
    <w:rsid w:val="00BE2504"/>
    <w:rsid w:val="00BE2F64"/>
    <w:rsid w:val="00BE3116"/>
    <w:rsid w:val="00BE325F"/>
    <w:rsid w:val="00BE3780"/>
    <w:rsid w:val="00BE3935"/>
    <w:rsid w:val="00BE3B46"/>
    <w:rsid w:val="00BE50EA"/>
    <w:rsid w:val="00BE5F35"/>
    <w:rsid w:val="00BE601F"/>
    <w:rsid w:val="00BE629F"/>
    <w:rsid w:val="00BE68D4"/>
    <w:rsid w:val="00BE6B4C"/>
    <w:rsid w:val="00BE6F16"/>
    <w:rsid w:val="00BE7841"/>
    <w:rsid w:val="00BE7986"/>
    <w:rsid w:val="00BE7B4E"/>
    <w:rsid w:val="00BF0221"/>
    <w:rsid w:val="00BF0D08"/>
    <w:rsid w:val="00BF1ABD"/>
    <w:rsid w:val="00BF1F37"/>
    <w:rsid w:val="00BF269A"/>
    <w:rsid w:val="00BF36DE"/>
    <w:rsid w:val="00BF3FB0"/>
    <w:rsid w:val="00BF439B"/>
    <w:rsid w:val="00BF4829"/>
    <w:rsid w:val="00BF4862"/>
    <w:rsid w:val="00BF4B1B"/>
    <w:rsid w:val="00BF5D59"/>
    <w:rsid w:val="00BF5E24"/>
    <w:rsid w:val="00BF6B0B"/>
    <w:rsid w:val="00BF6B4D"/>
    <w:rsid w:val="00BF6E6D"/>
    <w:rsid w:val="00BF7AB9"/>
    <w:rsid w:val="00C008EF"/>
    <w:rsid w:val="00C00E23"/>
    <w:rsid w:val="00C00EAA"/>
    <w:rsid w:val="00C0148C"/>
    <w:rsid w:val="00C01AC4"/>
    <w:rsid w:val="00C01C29"/>
    <w:rsid w:val="00C01D68"/>
    <w:rsid w:val="00C0274A"/>
    <w:rsid w:val="00C02AD3"/>
    <w:rsid w:val="00C03930"/>
    <w:rsid w:val="00C0422D"/>
    <w:rsid w:val="00C04477"/>
    <w:rsid w:val="00C044EE"/>
    <w:rsid w:val="00C0498C"/>
    <w:rsid w:val="00C051F8"/>
    <w:rsid w:val="00C0548E"/>
    <w:rsid w:val="00C055F2"/>
    <w:rsid w:val="00C056EA"/>
    <w:rsid w:val="00C05803"/>
    <w:rsid w:val="00C0676C"/>
    <w:rsid w:val="00C06A61"/>
    <w:rsid w:val="00C06D29"/>
    <w:rsid w:val="00C06F7F"/>
    <w:rsid w:val="00C07226"/>
    <w:rsid w:val="00C07AD2"/>
    <w:rsid w:val="00C07C49"/>
    <w:rsid w:val="00C07D62"/>
    <w:rsid w:val="00C1036F"/>
    <w:rsid w:val="00C10E26"/>
    <w:rsid w:val="00C11A2F"/>
    <w:rsid w:val="00C11E17"/>
    <w:rsid w:val="00C13A49"/>
    <w:rsid w:val="00C1417A"/>
    <w:rsid w:val="00C14355"/>
    <w:rsid w:val="00C14420"/>
    <w:rsid w:val="00C14547"/>
    <w:rsid w:val="00C14681"/>
    <w:rsid w:val="00C14FAD"/>
    <w:rsid w:val="00C150AE"/>
    <w:rsid w:val="00C153B3"/>
    <w:rsid w:val="00C1576C"/>
    <w:rsid w:val="00C159A4"/>
    <w:rsid w:val="00C159F5"/>
    <w:rsid w:val="00C15DC9"/>
    <w:rsid w:val="00C16043"/>
    <w:rsid w:val="00C163EE"/>
    <w:rsid w:val="00C16AB0"/>
    <w:rsid w:val="00C16C0D"/>
    <w:rsid w:val="00C171D9"/>
    <w:rsid w:val="00C17218"/>
    <w:rsid w:val="00C17354"/>
    <w:rsid w:val="00C17396"/>
    <w:rsid w:val="00C17BAF"/>
    <w:rsid w:val="00C200B3"/>
    <w:rsid w:val="00C200E2"/>
    <w:rsid w:val="00C20249"/>
    <w:rsid w:val="00C203D6"/>
    <w:rsid w:val="00C206DF"/>
    <w:rsid w:val="00C2076A"/>
    <w:rsid w:val="00C20B14"/>
    <w:rsid w:val="00C2113D"/>
    <w:rsid w:val="00C215C6"/>
    <w:rsid w:val="00C215E7"/>
    <w:rsid w:val="00C217C4"/>
    <w:rsid w:val="00C21982"/>
    <w:rsid w:val="00C21AC3"/>
    <w:rsid w:val="00C227C2"/>
    <w:rsid w:val="00C22C66"/>
    <w:rsid w:val="00C23337"/>
    <w:rsid w:val="00C2381C"/>
    <w:rsid w:val="00C23A72"/>
    <w:rsid w:val="00C23ED8"/>
    <w:rsid w:val="00C24041"/>
    <w:rsid w:val="00C2488B"/>
    <w:rsid w:val="00C24A43"/>
    <w:rsid w:val="00C24C04"/>
    <w:rsid w:val="00C2552D"/>
    <w:rsid w:val="00C25619"/>
    <w:rsid w:val="00C25645"/>
    <w:rsid w:val="00C25662"/>
    <w:rsid w:val="00C26033"/>
    <w:rsid w:val="00C26DA3"/>
    <w:rsid w:val="00C26F9F"/>
    <w:rsid w:val="00C27010"/>
    <w:rsid w:val="00C2716B"/>
    <w:rsid w:val="00C2765F"/>
    <w:rsid w:val="00C279C8"/>
    <w:rsid w:val="00C27BC5"/>
    <w:rsid w:val="00C30388"/>
    <w:rsid w:val="00C30DD7"/>
    <w:rsid w:val="00C312C6"/>
    <w:rsid w:val="00C315F6"/>
    <w:rsid w:val="00C322EE"/>
    <w:rsid w:val="00C3292B"/>
    <w:rsid w:val="00C32C83"/>
    <w:rsid w:val="00C32D9C"/>
    <w:rsid w:val="00C32F44"/>
    <w:rsid w:val="00C32FF7"/>
    <w:rsid w:val="00C33051"/>
    <w:rsid w:val="00C333E4"/>
    <w:rsid w:val="00C33425"/>
    <w:rsid w:val="00C33672"/>
    <w:rsid w:val="00C33A57"/>
    <w:rsid w:val="00C349F3"/>
    <w:rsid w:val="00C351F5"/>
    <w:rsid w:val="00C35388"/>
    <w:rsid w:val="00C354E5"/>
    <w:rsid w:val="00C355C3"/>
    <w:rsid w:val="00C35939"/>
    <w:rsid w:val="00C35FFB"/>
    <w:rsid w:val="00C37BE4"/>
    <w:rsid w:val="00C37C8C"/>
    <w:rsid w:val="00C402D3"/>
    <w:rsid w:val="00C40518"/>
    <w:rsid w:val="00C40618"/>
    <w:rsid w:val="00C40773"/>
    <w:rsid w:val="00C40C79"/>
    <w:rsid w:val="00C40CCE"/>
    <w:rsid w:val="00C4191D"/>
    <w:rsid w:val="00C41C42"/>
    <w:rsid w:val="00C41CC9"/>
    <w:rsid w:val="00C41DA7"/>
    <w:rsid w:val="00C41ED2"/>
    <w:rsid w:val="00C42EDE"/>
    <w:rsid w:val="00C43E86"/>
    <w:rsid w:val="00C43EAA"/>
    <w:rsid w:val="00C4444C"/>
    <w:rsid w:val="00C455B0"/>
    <w:rsid w:val="00C462ED"/>
    <w:rsid w:val="00C466BF"/>
    <w:rsid w:val="00C468B6"/>
    <w:rsid w:val="00C473ED"/>
    <w:rsid w:val="00C47A2D"/>
    <w:rsid w:val="00C50899"/>
    <w:rsid w:val="00C50C91"/>
    <w:rsid w:val="00C50E0E"/>
    <w:rsid w:val="00C50E5A"/>
    <w:rsid w:val="00C50F10"/>
    <w:rsid w:val="00C51976"/>
    <w:rsid w:val="00C51977"/>
    <w:rsid w:val="00C5230E"/>
    <w:rsid w:val="00C5237D"/>
    <w:rsid w:val="00C52B78"/>
    <w:rsid w:val="00C530F9"/>
    <w:rsid w:val="00C53187"/>
    <w:rsid w:val="00C53252"/>
    <w:rsid w:val="00C53424"/>
    <w:rsid w:val="00C535C0"/>
    <w:rsid w:val="00C535C4"/>
    <w:rsid w:val="00C5367A"/>
    <w:rsid w:val="00C5394B"/>
    <w:rsid w:val="00C53CE5"/>
    <w:rsid w:val="00C541C6"/>
    <w:rsid w:val="00C547B8"/>
    <w:rsid w:val="00C557F8"/>
    <w:rsid w:val="00C55A6D"/>
    <w:rsid w:val="00C5612B"/>
    <w:rsid w:val="00C56139"/>
    <w:rsid w:val="00C56BE5"/>
    <w:rsid w:val="00C57326"/>
    <w:rsid w:val="00C575B6"/>
    <w:rsid w:val="00C57A50"/>
    <w:rsid w:val="00C57F9D"/>
    <w:rsid w:val="00C600DC"/>
    <w:rsid w:val="00C60182"/>
    <w:rsid w:val="00C601AD"/>
    <w:rsid w:val="00C604D1"/>
    <w:rsid w:val="00C6051A"/>
    <w:rsid w:val="00C61103"/>
    <w:rsid w:val="00C6119D"/>
    <w:rsid w:val="00C611EB"/>
    <w:rsid w:val="00C611FA"/>
    <w:rsid w:val="00C612CC"/>
    <w:rsid w:val="00C6130B"/>
    <w:rsid w:val="00C6145E"/>
    <w:rsid w:val="00C61725"/>
    <w:rsid w:val="00C625FF"/>
    <w:rsid w:val="00C62649"/>
    <w:rsid w:val="00C62E1D"/>
    <w:rsid w:val="00C63538"/>
    <w:rsid w:val="00C63929"/>
    <w:rsid w:val="00C63FD3"/>
    <w:rsid w:val="00C64A59"/>
    <w:rsid w:val="00C64C8C"/>
    <w:rsid w:val="00C64F34"/>
    <w:rsid w:val="00C65037"/>
    <w:rsid w:val="00C653EE"/>
    <w:rsid w:val="00C6566F"/>
    <w:rsid w:val="00C6581F"/>
    <w:rsid w:val="00C65DF8"/>
    <w:rsid w:val="00C65F85"/>
    <w:rsid w:val="00C662BE"/>
    <w:rsid w:val="00C66954"/>
    <w:rsid w:val="00C66F4C"/>
    <w:rsid w:val="00C67246"/>
    <w:rsid w:val="00C67576"/>
    <w:rsid w:val="00C677FA"/>
    <w:rsid w:val="00C7038A"/>
    <w:rsid w:val="00C708AA"/>
    <w:rsid w:val="00C70A3C"/>
    <w:rsid w:val="00C70A4B"/>
    <w:rsid w:val="00C70C5B"/>
    <w:rsid w:val="00C70DC4"/>
    <w:rsid w:val="00C71963"/>
    <w:rsid w:val="00C72010"/>
    <w:rsid w:val="00C72268"/>
    <w:rsid w:val="00C72734"/>
    <w:rsid w:val="00C7285E"/>
    <w:rsid w:val="00C72F9F"/>
    <w:rsid w:val="00C73058"/>
    <w:rsid w:val="00C734EF"/>
    <w:rsid w:val="00C73955"/>
    <w:rsid w:val="00C73A8D"/>
    <w:rsid w:val="00C73A99"/>
    <w:rsid w:val="00C73EA5"/>
    <w:rsid w:val="00C73FE5"/>
    <w:rsid w:val="00C743AE"/>
    <w:rsid w:val="00C74B00"/>
    <w:rsid w:val="00C74B74"/>
    <w:rsid w:val="00C7522A"/>
    <w:rsid w:val="00C753CD"/>
    <w:rsid w:val="00C75CCE"/>
    <w:rsid w:val="00C7656D"/>
    <w:rsid w:val="00C7659E"/>
    <w:rsid w:val="00C766B2"/>
    <w:rsid w:val="00C76B0C"/>
    <w:rsid w:val="00C7701F"/>
    <w:rsid w:val="00C77B9A"/>
    <w:rsid w:val="00C77BEA"/>
    <w:rsid w:val="00C77E6E"/>
    <w:rsid w:val="00C8054B"/>
    <w:rsid w:val="00C808DB"/>
    <w:rsid w:val="00C80A6C"/>
    <w:rsid w:val="00C814D8"/>
    <w:rsid w:val="00C81795"/>
    <w:rsid w:val="00C81C96"/>
    <w:rsid w:val="00C81E2B"/>
    <w:rsid w:val="00C82680"/>
    <w:rsid w:val="00C82C9A"/>
    <w:rsid w:val="00C82EFB"/>
    <w:rsid w:val="00C82F0D"/>
    <w:rsid w:val="00C83009"/>
    <w:rsid w:val="00C8311A"/>
    <w:rsid w:val="00C834D8"/>
    <w:rsid w:val="00C83563"/>
    <w:rsid w:val="00C83885"/>
    <w:rsid w:val="00C83EA9"/>
    <w:rsid w:val="00C84C28"/>
    <w:rsid w:val="00C85625"/>
    <w:rsid w:val="00C856F9"/>
    <w:rsid w:val="00C857D0"/>
    <w:rsid w:val="00C85943"/>
    <w:rsid w:val="00C859BD"/>
    <w:rsid w:val="00C85D20"/>
    <w:rsid w:val="00C85DD1"/>
    <w:rsid w:val="00C85DE4"/>
    <w:rsid w:val="00C863DC"/>
    <w:rsid w:val="00C86C02"/>
    <w:rsid w:val="00C872C0"/>
    <w:rsid w:val="00C87D05"/>
    <w:rsid w:val="00C90251"/>
    <w:rsid w:val="00C90296"/>
    <w:rsid w:val="00C90594"/>
    <w:rsid w:val="00C909D0"/>
    <w:rsid w:val="00C910FA"/>
    <w:rsid w:val="00C91109"/>
    <w:rsid w:val="00C912CD"/>
    <w:rsid w:val="00C91FC8"/>
    <w:rsid w:val="00C926D6"/>
    <w:rsid w:val="00C935DD"/>
    <w:rsid w:val="00C937A6"/>
    <w:rsid w:val="00C937FE"/>
    <w:rsid w:val="00C938EB"/>
    <w:rsid w:val="00C939BF"/>
    <w:rsid w:val="00C93D7C"/>
    <w:rsid w:val="00C93E81"/>
    <w:rsid w:val="00C94435"/>
    <w:rsid w:val="00C94654"/>
    <w:rsid w:val="00C949B7"/>
    <w:rsid w:val="00C949F8"/>
    <w:rsid w:val="00C95DCB"/>
    <w:rsid w:val="00C95FCB"/>
    <w:rsid w:val="00C960B6"/>
    <w:rsid w:val="00C96129"/>
    <w:rsid w:val="00C963C8"/>
    <w:rsid w:val="00C963E5"/>
    <w:rsid w:val="00C9741C"/>
    <w:rsid w:val="00C97423"/>
    <w:rsid w:val="00C97913"/>
    <w:rsid w:val="00C97C0B"/>
    <w:rsid w:val="00CA070F"/>
    <w:rsid w:val="00CA07A3"/>
    <w:rsid w:val="00CA0949"/>
    <w:rsid w:val="00CA0E6F"/>
    <w:rsid w:val="00CA0FF7"/>
    <w:rsid w:val="00CA1856"/>
    <w:rsid w:val="00CA1E3D"/>
    <w:rsid w:val="00CA1F37"/>
    <w:rsid w:val="00CA204A"/>
    <w:rsid w:val="00CA212E"/>
    <w:rsid w:val="00CA2609"/>
    <w:rsid w:val="00CA2E60"/>
    <w:rsid w:val="00CA3985"/>
    <w:rsid w:val="00CA3C08"/>
    <w:rsid w:val="00CA3FF2"/>
    <w:rsid w:val="00CA4358"/>
    <w:rsid w:val="00CA4448"/>
    <w:rsid w:val="00CA4952"/>
    <w:rsid w:val="00CA5010"/>
    <w:rsid w:val="00CA53DA"/>
    <w:rsid w:val="00CA53EE"/>
    <w:rsid w:val="00CA54FA"/>
    <w:rsid w:val="00CA5534"/>
    <w:rsid w:val="00CA56FC"/>
    <w:rsid w:val="00CA591D"/>
    <w:rsid w:val="00CA66EB"/>
    <w:rsid w:val="00CA6A42"/>
    <w:rsid w:val="00CA6BF9"/>
    <w:rsid w:val="00CA6DAA"/>
    <w:rsid w:val="00CA7284"/>
    <w:rsid w:val="00CA75A8"/>
    <w:rsid w:val="00CA76EA"/>
    <w:rsid w:val="00CA7E57"/>
    <w:rsid w:val="00CA7FE7"/>
    <w:rsid w:val="00CB02C0"/>
    <w:rsid w:val="00CB042E"/>
    <w:rsid w:val="00CB0704"/>
    <w:rsid w:val="00CB0803"/>
    <w:rsid w:val="00CB182A"/>
    <w:rsid w:val="00CB1930"/>
    <w:rsid w:val="00CB198E"/>
    <w:rsid w:val="00CB210A"/>
    <w:rsid w:val="00CB2DB6"/>
    <w:rsid w:val="00CB32AA"/>
    <w:rsid w:val="00CB34C3"/>
    <w:rsid w:val="00CB36FF"/>
    <w:rsid w:val="00CB3C0F"/>
    <w:rsid w:val="00CB3E3B"/>
    <w:rsid w:val="00CB3E4E"/>
    <w:rsid w:val="00CB40C2"/>
    <w:rsid w:val="00CB41B1"/>
    <w:rsid w:val="00CB42FE"/>
    <w:rsid w:val="00CB475E"/>
    <w:rsid w:val="00CB4CEA"/>
    <w:rsid w:val="00CB50AC"/>
    <w:rsid w:val="00CB51CB"/>
    <w:rsid w:val="00CB5914"/>
    <w:rsid w:val="00CB5E2A"/>
    <w:rsid w:val="00CB6657"/>
    <w:rsid w:val="00CB668D"/>
    <w:rsid w:val="00CB6C42"/>
    <w:rsid w:val="00CB6DBB"/>
    <w:rsid w:val="00CB6E4B"/>
    <w:rsid w:val="00CB7452"/>
    <w:rsid w:val="00CC01A3"/>
    <w:rsid w:val="00CC02A3"/>
    <w:rsid w:val="00CC0FA5"/>
    <w:rsid w:val="00CC1397"/>
    <w:rsid w:val="00CC1A97"/>
    <w:rsid w:val="00CC25FC"/>
    <w:rsid w:val="00CC272C"/>
    <w:rsid w:val="00CC29CD"/>
    <w:rsid w:val="00CC2D0E"/>
    <w:rsid w:val="00CC2FBC"/>
    <w:rsid w:val="00CC36D3"/>
    <w:rsid w:val="00CC3833"/>
    <w:rsid w:val="00CC39E9"/>
    <w:rsid w:val="00CC3BF3"/>
    <w:rsid w:val="00CC4097"/>
    <w:rsid w:val="00CC41B9"/>
    <w:rsid w:val="00CC46F1"/>
    <w:rsid w:val="00CC47A0"/>
    <w:rsid w:val="00CC4B64"/>
    <w:rsid w:val="00CC4E78"/>
    <w:rsid w:val="00CC53A4"/>
    <w:rsid w:val="00CC57FA"/>
    <w:rsid w:val="00CC5906"/>
    <w:rsid w:val="00CC5AE5"/>
    <w:rsid w:val="00CC6121"/>
    <w:rsid w:val="00CC6F74"/>
    <w:rsid w:val="00CC711F"/>
    <w:rsid w:val="00CC71A4"/>
    <w:rsid w:val="00CC7242"/>
    <w:rsid w:val="00CC74CC"/>
    <w:rsid w:val="00CC762E"/>
    <w:rsid w:val="00CC766B"/>
    <w:rsid w:val="00CC7730"/>
    <w:rsid w:val="00CC7F48"/>
    <w:rsid w:val="00CD04AF"/>
    <w:rsid w:val="00CD057A"/>
    <w:rsid w:val="00CD0771"/>
    <w:rsid w:val="00CD11E0"/>
    <w:rsid w:val="00CD1272"/>
    <w:rsid w:val="00CD1AA4"/>
    <w:rsid w:val="00CD20D1"/>
    <w:rsid w:val="00CD271C"/>
    <w:rsid w:val="00CD29F2"/>
    <w:rsid w:val="00CD413D"/>
    <w:rsid w:val="00CD4179"/>
    <w:rsid w:val="00CD43F7"/>
    <w:rsid w:val="00CD47A4"/>
    <w:rsid w:val="00CD4941"/>
    <w:rsid w:val="00CD507A"/>
    <w:rsid w:val="00CD5194"/>
    <w:rsid w:val="00CD56F4"/>
    <w:rsid w:val="00CD573E"/>
    <w:rsid w:val="00CD5956"/>
    <w:rsid w:val="00CD5974"/>
    <w:rsid w:val="00CD69D7"/>
    <w:rsid w:val="00CD6AF7"/>
    <w:rsid w:val="00CD6DE8"/>
    <w:rsid w:val="00CD6EC6"/>
    <w:rsid w:val="00CD7983"/>
    <w:rsid w:val="00CD7CE4"/>
    <w:rsid w:val="00CE09CE"/>
    <w:rsid w:val="00CE11B1"/>
    <w:rsid w:val="00CE135B"/>
    <w:rsid w:val="00CE1908"/>
    <w:rsid w:val="00CE26B4"/>
    <w:rsid w:val="00CE2CC8"/>
    <w:rsid w:val="00CE2F2C"/>
    <w:rsid w:val="00CE3637"/>
    <w:rsid w:val="00CE36C7"/>
    <w:rsid w:val="00CE392D"/>
    <w:rsid w:val="00CE439A"/>
    <w:rsid w:val="00CE4456"/>
    <w:rsid w:val="00CE4CB4"/>
    <w:rsid w:val="00CE4DE9"/>
    <w:rsid w:val="00CE4EFC"/>
    <w:rsid w:val="00CE5358"/>
    <w:rsid w:val="00CE5550"/>
    <w:rsid w:val="00CE55EA"/>
    <w:rsid w:val="00CE603B"/>
    <w:rsid w:val="00CE6435"/>
    <w:rsid w:val="00CE69FF"/>
    <w:rsid w:val="00CE6D69"/>
    <w:rsid w:val="00CE6F11"/>
    <w:rsid w:val="00CE6F45"/>
    <w:rsid w:val="00CE6F94"/>
    <w:rsid w:val="00CE6FAB"/>
    <w:rsid w:val="00CE7547"/>
    <w:rsid w:val="00CE78E8"/>
    <w:rsid w:val="00CF041F"/>
    <w:rsid w:val="00CF0A88"/>
    <w:rsid w:val="00CF0FFA"/>
    <w:rsid w:val="00CF18B7"/>
    <w:rsid w:val="00CF1B54"/>
    <w:rsid w:val="00CF22CD"/>
    <w:rsid w:val="00CF23E6"/>
    <w:rsid w:val="00CF255F"/>
    <w:rsid w:val="00CF3649"/>
    <w:rsid w:val="00CF3695"/>
    <w:rsid w:val="00CF374A"/>
    <w:rsid w:val="00CF408A"/>
    <w:rsid w:val="00CF40F3"/>
    <w:rsid w:val="00CF4319"/>
    <w:rsid w:val="00CF448B"/>
    <w:rsid w:val="00CF5AF2"/>
    <w:rsid w:val="00CF5D99"/>
    <w:rsid w:val="00CF6228"/>
    <w:rsid w:val="00CF6252"/>
    <w:rsid w:val="00CF6524"/>
    <w:rsid w:val="00CF7060"/>
    <w:rsid w:val="00CF71CD"/>
    <w:rsid w:val="00CF736B"/>
    <w:rsid w:val="00CF76E8"/>
    <w:rsid w:val="00CF779A"/>
    <w:rsid w:val="00CF78F3"/>
    <w:rsid w:val="00CF7970"/>
    <w:rsid w:val="00D00097"/>
    <w:rsid w:val="00D00100"/>
    <w:rsid w:val="00D00172"/>
    <w:rsid w:val="00D0029B"/>
    <w:rsid w:val="00D00594"/>
    <w:rsid w:val="00D00936"/>
    <w:rsid w:val="00D01116"/>
    <w:rsid w:val="00D01647"/>
    <w:rsid w:val="00D01668"/>
    <w:rsid w:val="00D01766"/>
    <w:rsid w:val="00D018FF"/>
    <w:rsid w:val="00D023DA"/>
    <w:rsid w:val="00D02AAF"/>
    <w:rsid w:val="00D0441B"/>
    <w:rsid w:val="00D0498E"/>
    <w:rsid w:val="00D04D84"/>
    <w:rsid w:val="00D04E27"/>
    <w:rsid w:val="00D04FD6"/>
    <w:rsid w:val="00D05632"/>
    <w:rsid w:val="00D0583A"/>
    <w:rsid w:val="00D05DE8"/>
    <w:rsid w:val="00D06026"/>
    <w:rsid w:val="00D068C2"/>
    <w:rsid w:val="00D06E67"/>
    <w:rsid w:val="00D07131"/>
    <w:rsid w:val="00D071E3"/>
    <w:rsid w:val="00D0721B"/>
    <w:rsid w:val="00D072B7"/>
    <w:rsid w:val="00D07758"/>
    <w:rsid w:val="00D078EB"/>
    <w:rsid w:val="00D07A51"/>
    <w:rsid w:val="00D07BC0"/>
    <w:rsid w:val="00D07EF6"/>
    <w:rsid w:val="00D10309"/>
    <w:rsid w:val="00D103E1"/>
    <w:rsid w:val="00D1097F"/>
    <w:rsid w:val="00D10D3F"/>
    <w:rsid w:val="00D1114C"/>
    <w:rsid w:val="00D11188"/>
    <w:rsid w:val="00D1119B"/>
    <w:rsid w:val="00D118FC"/>
    <w:rsid w:val="00D11CE6"/>
    <w:rsid w:val="00D11CF6"/>
    <w:rsid w:val="00D124FD"/>
    <w:rsid w:val="00D12563"/>
    <w:rsid w:val="00D12C79"/>
    <w:rsid w:val="00D12EDA"/>
    <w:rsid w:val="00D132C2"/>
    <w:rsid w:val="00D13793"/>
    <w:rsid w:val="00D13AE9"/>
    <w:rsid w:val="00D13C4A"/>
    <w:rsid w:val="00D13F8E"/>
    <w:rsid w:val="00D14B27"/>
    <w:rsid w:val="00D15AC4"/>
    <w:rsid w:val="00D15ADC"/>
    <w:rsid w:val="00D15EDB"/>
    <w:rsid w:val="00D15EEC"/>
    <w:rsid w:val="00D16555"/>
    <w:rsid w:val="00D165D0"/>
    <w:rsid w:val="00D16892"/>
    <w:rsid w:val="00D16EDD"/>
    <w:rsid w:val="00D17072"/>
    <w:rsid w:val="00D17852"/>
    <w:rsid w:val="00D17BD7"/>
    <w:rsid w:val="00D202F3"/>
    <w:rsid w:val="00D20D11"/>
    <w:rsid w:val="00D20E3B"/>
    <w:rsid w:val="00D20E43"/>
    <w:rsid w:val="00D20F57"/>
    <w:rsid w:val="00D20F9C"/>
    <w:rsid w:val="00D216F2"/>
    <w:rsid w:val="00D21862"/>
    <w:rsid w:val="00D218E7"/>
    <w:rsid w:val="00D21F3B"/>
    <w:rsid w:val="00D228A8"/>
    <w:rsid w:val="00D22ACA"/>
    <w:rsid w:val="00D23488"/>
    <w:rsid w:val="00D2363C"/>
    <w:rsid w:val="00D2366A"/>
    <w:rsid w:val="00D237A5"/>
    <w:rsid w:val="00D2381B"/>
    <w:rsid w:val="00D24190"/>
    <w:rsid w:val="00D247E3"/>
    <w:rsid w:val="00D24814"/>
    <w:rsid w:val="00D2510C"/>
    <w:rsid w:val="00D257B0"/>
    <w:rsid w:val="00D25BF1"/>
    <w:rsid w:val="00D26167"/>
    <w:rsid w:val="00D261CD"/>
    <w:rsid w:val="00D27A1C"/>
    <w:rsid w:val="00D27AB2"/>
    <w:rsid w:val="00D27BBA"/>
    <w:rsid w:val="00D300E4"/>
    <w:rsid w:val="00D30583"/>
    <w:rsid w:val="00D309F3"/>
    <w:rsid w:val="00D30D95"/>
    <w:rsid w:val="00D3139D"/>
    <w:rsid w:val="00D315C7"/>
    <w:rsid w:val="00D319D5"/>
    <w:rsid w:val="00D31EF0"/>
    <w:rsid w:val="00D32265"/>
    <w:rsid w:val="00D324DF"/>
    <w:rsid w:val="00D32650"/>
    <w:rsid w:val="00D327A6"/>
    <w:rsid w:val="00D335DC"/>
    <w:rsid w:val="00D335E1"/>
    <w:rsid w:val="00D336FB"/>
    <w:rsid w:val="00D33CE4"/>
    <w:rsid w:val="00D33F49"/>
    <w:rsid w:val="00D33FD7"/>
    <w:rsid w:val="00D343EC"/>
    <w:rsid w:val="00D34B56"/>
    <w:rsid w:val="00D35011"/>
    <w:rsid w:val="00D35141"/>
    <w:rsid w:val="00D35382"/>
    <w:rsid w:val="00D353FA"/>
    <w:rsid w:val="00D3588E"/>
    <w:rsid w:val="00D36530"/>
    <w:rsid w:val="00D365A7"/>
    <w:rsid w:val="00D367A9"/>
    <w:rsid w:val="00D36887"/>
    <w:rsid w:val="00D36BDD"/>
    <w:rsid w:val="00D36EBC"/>
    <w:rsid w:val="00D3731E"/>
    <w:rsid w:val="00D37520"/>
    <w:rsid w:val="00D37829"/>
    <w:rsid w:val="00D3785C"/>
    <w:rsid w:val="00D378CC"/>
    <w:rsid w:val="00D3798C"/>
    <w:rsid w:val="00D37A79"/>
    <w:rsid w:val="00D37AAA"/>
    <w:rsid w:val="00D37AC2"/>
    <w:rsid w:val="00D37B9A"/>
    <w:rsid w:val="00D407E6"/>
    <w:rsid w:val="00D40B1D"/>
    <w:rsid w:val="00D40F45"/>
    <w:rsid w:val="00D410EF"/>
    <w:rsid w:val="00D41195"/>
    <w:rsid w:val="00D41D32"/>
    <w:rsid w:val="00D41D78"/>
    <w:rsid w:val="00D421A1"/>
    <w:rsid w:val="00D42240"/>
    <w:rsid w:val="00D42569"/>
    <w:rsid w:val="00D42A5F"/>
    <w:rsid w:val="00D431D6"/>
    <w:rsid w:val="00D43481"/>
    <w:rsid w:val="00D437B2"/>
    <w:rsid w:val="00D439F6"/>
    <w:rsid w:val="00D43E14"/>
    <w:rsid w:val="00D44801"/>
    <w:rsid w:val="00D4499D"/>
    <w:rsid w:val="00D44B43"/>
    <w:rsid w:val="00D44CED"/>
    <w:rsid w:val="00D44F29"/>
    <w:rsid w:val="00D4539E"/>
    <w:rsid w:val="00D454A8"/>
    <w:rsid w:val="00D45B3B"/>
    <w:rsid w:val="00D45DDE"/>
    <w:rsid w:val="00D45E72"/>
    <w:rsid w:val="00D46341"/>
    <w:rsid w:val="00D46822"/>
    <w:rsid w:val="00D46A69"/>
    <w:rsid w:val="00D470B4"/>
    <w:rsid w:val="00D4713E"/>
    <w:rsid w:val="00D478AF"/>
    <w:rsid w:val="00D47B43"/>
    <w:rsid w:val="00D47F18"/>
    <w:rsid w:val="00D50044"/>
    <w:rsid w:val="00D505CB"/>
    <w:rsid w:val="00D50714"/>
    <w:rsid w:val="00D507CE"/>
    <w:rsid w:val="00D50BD3"/>
    <w:rsid w:val="00D515AE"/>
    <w:rsid w:val="00D51DDA"/>
    <w:rsid w:val="00D51EEE"/>
    <w:rsid w:val="00D5217C"/>
    <w:rsid w:val="00D52AC3"/>
    <w:rsid w:val="00D52D42"/>
    <w:rsid w:val="00D5440C"/>
    <w:rsid w:val="00D54459"/>
    <w:rsid w:val="00D54CE8"/>
    <w:rsid w:val="00D55321"/>
    <w:rsid w:val="00D55E88"/>
    <w:rsid w:val="00D562F6"/>
    <w:rsid w:val="00D56939"/>
    <w:rsid w:val="00D56C53"/>
    <w:rsid w:val="00D56F87"/>
    <w:rsid w:val="00D571E2"/>
    <w:rsid w:val="00D57434"/>
    <w:rsid w:val="00D57BA4"/>
    <w:rsid w:val="00D57CD0"/>
    <w:rsid w:val="00D6012F"/>
    <w:rsid w:val="00D60144"/>
    <w:rsid w:val="00D61011"/>
    <w:rsid w:val="00D61284"/>
    <w:rsid w:val="00D613DA"/>
    <w:rsid w:val="00D61899"/>
    <w:rsid w:val="00D61C55"/>
    <w:rsid w:val="00D62366"/>
    <w:rsid w:val="00D62582"/>
    <w:rsid w:val="00D625C3"/>
    <w:rsid w:val="00D62C3C"/>
    <w:rsid w:val="00D62CD1"/>
    <w:rsid w:val="00D62FB9"/>
    <w:rsid w:val="00D6309F"/>
    <w:rsid w:val="00D633CF"/>
    <w:rsid w:val="00D63A6C"/>
    <w:rsid w:val="00D63E8E"/>
    <w:rsid w:val="00D644B2"/>
    <w:rsid w:val="00D649EF"/>
    <w:rsid w:val="00D64C43"/>
    <w:rsid w:val="00D64F0C"/>
    <w:rsid w:val="00D64F84"/>
    <w:rsid w:val="00D65503"/>
    <w:rsid w:val="00D6603A"/>
    <w:rsid w:val="00D66059"/>
    <w:rsid w:val="00D66210"/>
    <w:rsid w:val="00D665A0"/>
    <w:rsid w:val="00D665C1"/>
    <w:rsid w:val="00D6709A"/>
    <w:rsid w:val="00D67EDF"/>
    <w:rsid w:val="00D7026B"/>
    <w:rsid w:val="00D70767"/>
    <w:rsid w:val="00D70A07"/>
    <w:rsid w:val="00D70D9E"/>
    <w:rsid w:val="00D714E1"/>
    <w:rsid w:val="00D71C7D"/>
    <w:rsid w:val="00D71CB4"/>
    <w:rsid w:val="00D71D27"/>
    <w:rsid w:val="00D726B7"/>
    <w:rsid w:val="00D7294D"/>
    <w:rsid w:val="00D73043"/>
    <w:rsid w:val="00D73374"/>
    <w:rsid w:val="00D734B3"/>
    <w:rsid w:val="00D73905"/>
    <w:rsid w:val="00D73C44"/>
    <w:rsid w:val="00D73D23"/>
    <w:rsid w:val="00D73FCC"/>
    <w:rsid w:val="00D7412D"/>
    <w:rsid w:val="00D7422A"/>
    <w:rsid w:val="00D742EB"/>
    <w:rsid w:val="00D7433D"/>
    <w:rsid w:val="00D74574"/>
    <w:rsid w:val="00D7470B"/>
    <w:rsid w:val="00D749AF"/>
    <w:rsid w:val="00D74BC3"/>
    <w:rsid w:val="00D7507E"/>
    <w:rsid w:val="00D751A2"/>
    <w:rsid w:val="00D75405"/>
    <w:rsid w:val="00D75920"/>
    <w:rsid w:val="00D75B50"/>
    <w:rsid w:val="00D75CD9"/>
    <w:rsid w:val="00D7779D"/>
    <w:rsid w:val="00D77BB8"/>
    <w:rsid w:val="00D77BBD"/>
    <w:rsid w:val="00D77FB7"/>
    <w:rsid w:val="00D80224"/>
    <w:rsid w:val="00D80420"/>
    <w:rsid w:val="00D806B5"/>
    <w:rsid w:val="00D80A9A"/>
    <w:rsid w:val="00D8106B"/>
    <w:rsid w:val="00D8132C"/>
    <w:rsid w:val="00D817AC"/>
    <w:rsid w:val="00D81AF1"/>
    <w:rsid w:val="00D81D17"/>
    <w:rsid w:val="00D8213C"/>
    <w:rsid w:val="00D82590"/>
    <w:rsid w:val="00D82A35"/>
    <w:rsid w:val="00D830AF"/>
    <w:rsid w:val="00D835BC"/>
    <w:rsid w:val="00D83682"/>
    <w:rsid w:val="00D837B0"/>
    <w:rsid w:val="00D8387C"/>
    <w:rsid w:val="00D83901"/>
    <w:rsid w:val="00D8413D"/>
    <w:rsid w:val="00D846AF"/>
    <w:rsid w:val="00D84F11"/>
    <w:rsid w:val="00D8568A"/>
    <w:rsid w:val="00D856E9"/>
    <w:rsid w:val="00D8599E"/>
    <w:rsid w:val="00D8683F"/>
    <w:rsid w:val="00D86BD8"/>
    <w:rsid w:val="00D87306"/>
    <w:rsid w:val="00D87939"/>
    <w:rsid w:val="00D9001C"/>
    <w:rsid w:val="00D90BCD"/>
    <w:rsid w:val="00D91014"/>
    <w:rsid w:val="00D911DE"/>
    <w:rsid w:val="00D91297"/>
    <w:rsid w:val="00D912A0"/>
    <w:rsid w:val="00D91374"/>
    <w:rsid w:val="00D913B0"/>
    <w:rsid w:val="00D919E0"/>
    <w:rsid w:val="00D91ABA"/>
    <w:rsid w:val="00D91B7E"/>
    <w:rsid w:val="00D91DDE"/>
    <w:rsid w:val="00D92394"/>
    <w:rsid w:val="00D939D5"/>
    <w:rsid w:val="00D93D15"/>
    <w:rsid w:val="00D93E9F"/>
    <w:rsid w:val="00D94703"/>
    <w:rsid w:val="00D9479B"/>
    <w:rsid w:val="00D94AC0"/>
    <w:rsid w:val="00D95973"/>
    <w:rsid w:val="00D959E4"/>
    <w:rsid w:val="00D95A4F"/>
    <w:rsid w:val="00D95BD1"/>
    <w:rsid w:val="00D96D1E"/>
    <w:rsid w:val="00D96F6C"/>
    <w:rsid w:val="00D97308"/>
    <w:rsid w:val="00D973EA"/>
    <w:rsid w:val="00D97575"/>
    <w:rsid w:val="00D975E8"/>
    <w:rsid w:val="00D97652"/>
    <w:rsid w:val="00D97AC3"/>
    <w:rsid w:val="00DA119D"/>
    <w:rsid w:val="00DA11B0"/>
    <w:rsid w:val="00DA126A"/>
    <w:rsid w:val="00DA1336"/>
    <w:rsid w:val="00DA18C0"/>
    <w:rsid w:val="00DA1AA4"/>
    <w:rsid w:val="00DA1AC9"/>
    <w:rsid w:val="00DA1D38"/>
    <w:rsid w:val="00DA1E71"/>
    <w:rsid w:val="00DA22AB"/>
    <w:rsid w:val="00DA25EF"/>
    <w:rsid w:val="00DA267B"/>
    <w:rsid w:val="00DA3952"/>
    <w:rsid w:val="00DA3BCD"/>
    <w:rsid w:val="00DA4108"/>
    <w:rsid w:val="00DA414C"/>
    <w:rsid w:val="00DA4428"/>
    <w:rsid w:val="00DA4BD4"/>
    <w:rsid w:val="00DA4C72"/>
    <w:rsid w:val="00DA5512"/>
    <w:rsid w:val="00DA58BF"/>
    <w:rsid w:val="00DA72C5"/>
    <w:rsid w:val="00DA72CE"/>
    <w:rsid w:val="00DA7C46"/>
    <w:rsid w:val="00DB0615"/>
    <w:rsid w:val="00DB0AD5"/>
    <w:rsid w:val="00DB0D8C"/>
    <w:rsid w:val="00DB116B"/>
    <w:rsid w:val="00DB11C9"/>
    <w:rsid w:val="00DB16DD"/>
    <w:rsid w:val="00DB1B92"/>
    <w:rsid w:val="00DB1FF0"/>
    <w:rsid w:val="00DB2174"/>
    <w:rsid w:val="00DB2266"/>
    <w:rsid w:val="00DB2B56"/>
    <w:rsid w:val="00DB2E14"/>
    <w:rsid w:val="00DB338E"/>
    <w:rsid w:val="00DB3393"/>
    <w:rsid w:val="00DB394B"/>
    <w:rsid w:val="00DB40D9"/>
    <w:rsid w:val="00DB4329"/>
    <w:rsid w:val="00DB48CC"/>
    <w:rsid w:val="00DB4D79"/>
    <w:rsid w:val="00DB4DE3"/>
    <w:rsid w:val="00DB51BF"/>
    <w:rsid w:val="00DB55F6"/>
    <w:rsid w:val="00DB5AC9"/>
    <w:rsid w:val="00DB5E2B"/>
    <w:rsid w:val="00DB6016"/>
    <w:rsid w:val="00DB61CD"/>
    <w:rsid w:val="00DB6620"/>
    <w:rsid w:val="00DB6836"/>
    <w:rsid w:val="00DB6A8F"/>
    <w:rsid w:val="00DB6D72"/>
    <w:rsid w:val="00DB6FB1"/>
    <w:rsid w:val="00DB720E"/>
    <w:rsid w:val="00DB75AC"/>
    <w:rsid w:val="00DC0610"/>
    <w:rsid w:val="00DC09AB"/>
    <w:rsid w:val="00DC0A6D"/>
    <w:rsid w:val="00DC1C30"/>
    <w:rsid w:val="00DC224C"/>
    <w:rsid w:val="00DC22B3"/>
    <w:rsid w:val="00DC24BD"/>
    <w:rsid w:val="00DC327F"/>
    <w:rsid w:val="00DC386C"/>
    <w:rsid w:val="00DC38D2"/>
    <w:rsid w:val="00DC43B7"/>
    <w:rsid w:val="00DC46EC"/>
    <w:rsid w:val="00DC4BFB"/>
    <w:rsid w:val="00DC53BB"/>
    <w:rsid w:val="00DC573F"/>
    <w:rsid w:val="00DC577D"/>
    <w:rsid w:val="00DC5AD5"/>
    <w:rsid w:val="00DC610A"/>
    <w:rsid w:val="00DC637E"/>
    <w:rsid w:val="00DC699C"/>
    <w:rsid w:val="00DC6A7A"/>
    <w:rsid w:val="00DC7570"/>
    <w:rsid w:val="00DC784D"/>
    <w:rsid w:val="00DC7EFA"/>
    <w:rsid w:val="00DD00FF"/>
    <w:rsid w:val="00DD03B4"/>
    <w:rsid w:val="00DD05F4"/>
    <w:rsid w:val="00DD07DB"/>
    <w:rsid w:val="00DD0B5D"/>
    <w:rsid w:val="00DD0C19"/>
    <w:rsid w:val="00DD0C72"/>
    <w:rsid w:val="00DD0F9F"/>
    <w:rsid w:val="00DD17B3"/>
    <w:rsid w:val="00DD1C96"/>
    <w:rsid w:val="00DD206A"/>
    <w:rsid w:val="00DD2533"/>
    <w:rsid w:val="00DD2A3C"/>
    <w:rsid w:val="00DD2B6B"/>
    <w:rsid w:val="00DD2FA1"/>
    <w:rsid w:val="00DD31F3"/>
    <w:rsid w:val="00DD39C3"/>
    <w:rsid w:val="00DD3BA3"/>
    <w:rsid w:val="00DD3F14"/>
    <w:rsid w:val="00DD4247"/>
    <w:rsid w:val="00DD476D"/>
    <w:rsid w:val="00DD47A7"/>
    <w:rsid w:val="00DD4D54"/>
    <w:rsid w:val="00DD51FF"/>
    <w:rsid w:val="00DD5493"/>
    <w:rsid w:val="00DD5DE3"/>
    <w:rsid w:val="00DD6166"/>
    <w:rsid w:val="00DD6951"/>
    <w:rsid w:val="00DD70E4"/>
    <w:rsid w:val="00DD7887"/>
    <w:rsid w:val="00DD7C76"/>
    <w:rsid w:val="00DD7D01"/>
    <w:rsid w:val="00DE002C"/>
    <w:rsid w:val="00DE0DB4"/>
    <w:rsid w:val="00DE106E"/>
    <w:rsid w:val="00DE1148"/>
    <w:rsid w:val="00DE1801"/>
    <w:rsid w:val="00DE19D6"/>
    <w:rsid w:val="00DE1E22"/>
    <w:rsid w:val="00DE2052"/>
    <w:rsid w:val="00DE2390"/>
    <w:rsid w:val="00DE27A7"/>
    <w:rsid w:val="00DE3024"/>
    <w:rsid w:val="00DE31AF"/>
    <w:rsid w:val="00DE3662"/>
    <w:rsid w:val="00DE36AC"/>
    <w:rsid w:val="00DE3EE7"/>
    <w:rsid w:val="00DE444D"/>
    <w:rsid w:val="00DE44B1"/>
    <w:rsid w:val="00DE4CD6"/>
    <w:rsid w:val="00DE4E45"/>
    <w:rsid w:val="00DE506B"/>
    <w:rsid w:val="00DE50AA"/>
    <w:rsid w:val="00DE5BBE"/>
    <w:rsid w:val="00DE6588"/>
    <w:rsid w:val="00DE65A9"/>
    <w:rsid w:val="00DE7939"/>
    <w:rsid w:val="00DE7984"/>
    <w:rsid w:val="00DE7B00"/>
    <w:rsid w:val="00DF04F9"/>
    <w:rsid w:val="00DF0541"/>
    <w:rsid w:val="00DF0FA6"/>
    <w:rsid w:val="00DF15F2"/>
    <w:rsid w:val="00DF16BA"/>
    <w:rsid w:val="00DF18DC"/>
    <w:rsid w:val="00DF1BFF"/>
    <w:rsid w:val="00DF1C8B"/>
    <w:rsid w:val="00DF1EA9"/>
    <w:rsid w:val="00DF25F7"/>
    <w:rsid w:val="00DF2D9D"/>
    <w:rsid w:val="00DF317A"/>
    <w:rsid w:val="00DF3DA8"/>
    <w:rsid w:val="00DF4266"/>
    <w:rsid w:val="00DF494F"/>
    <w:rsid w:val="00DF5E4A"/>
    <w:rsid w:val="00DF6354"/>
    <w:rsid w:val="00DF6EAC"/>
    <w:rsid w:val="00DF778A"/>
    <w:rsid w:val="00DF77CB"/>
    <w:rsid w:val="00DF797E"/>
    <w:rsid w:val="00E001EB"/>
    <w:rsid w:val="00E01140"/>
    <w:rsid w:val="00E017E6"/>
    <w:rsid w:val="00E01B64"/>
    <w:rsid w:val="00E01EE9"/>
    <w:rsid w:val="00E02BCA"/>
    <w:rsid w:val="00E03036"/>
    <w:rsid w:val="00E03D49"/>
    <w:rsid w:val="00E03F08"/>
    <w:rsid w:val="00E04088"/>
    <w:rsid w:val="00E04574"/>
    <w:rsid w:val="00E04D87"/>
    <w:rsid w:val="00E0506D"/>
    <w:rsid w:val="00E05843"/>
    <w:rsid w:val="00E058C7"/>
    <w:rsid w:val="00E05F36"/>
    <w:rsid w:val="00E063E0"/>
    <w:rsid w:val="00E066D7"/>
    <w:rsid w:val="00E06903"/>
    <w:rsid w:val="00E06974"/>
    <w:rsid w:val="00E07417"/>
    <w:rsid w:val="00E076D6"/>
    <w:rsid w:val="00E0776F"/>
    <w:rsid w:val="00E077B6"/>
    <w:rsid w:val="00E07EFD"/>
    <w:rsid w:val="00E1062A"/>
    <w:rsid w:val="00E10693"/>
    <w:rsid w:val="00E106E6"/>
    <w:rsid w:val="00E1079F"/>
    <w:rsid w:val="00E107B8"/>
    <w:rsid w:val="00E10868"/>
    <w:rsid w:val="00E10A2D"/>
    <w:rsid w:val="00E1191A"/>
    <w:rsid w:val="00E11BB6"/>
    <w:rsid w:val="00E11C9D"/>
    <w:rsid w:val="00E11E7E"/>
    <w:rsid w:val="00E11F98"/>
    <w:rsid w:val="00E11FEF"/>
    <w:rsid w:val="00E12265"/>
    <w:rsid w:val="00E12C8A"/>
    <w:rsid w:val="00E12FE9"/>
    <w:rsid w:val="00E137CD"/>
    <w:rsid w:val="00E137FF"/>
    <w:rsid w:val="00E13F83"/>
    <w:rsid w:val="00E143F6"/>
    <w:rsid w:val="00E147F1"/>
    <w:rsid w:val="00E14BE8"/>
    <w:rsid w:val="00E14C18"/>
    <w:rsid w:val="00E1536D"/>
    <w:rsid w:val="00E15506"/>
    <w:rsid w:val="00E15C92"/>
    <w:rsid w:val="00E1650E"/>
    <w:rsid w:val="00E16A0A"/>
    <w:rsid w:val="00E16B68"/>
    <w:rsid w:val="00E1717F"/>
    <w:rsid w:val="00E17594"/>
    <w:rsid w:val="00E202A0"/>
    <w:rsid w:val="00E202BE"/>
    <w:rsid w:val="00E21002"/>
    <w:rsid w:val="00E21004"/>
    <w:rsid w:val="00E212AC"/>
    <w:rsid w:val="00E213FA"/>
    <w:rsid w:val="00E2175A"/>
    <w:rsid w:val="00E217A6"/>
    <w:rsid w:val="00E217B6"/>
    <w:rsid w:val="00E223BA"/>
    <w:rsid w:val="00E2250C"/>
    <w:rsid w:val="00E233A7"/>
    <w:rsid w:val="00E23758"/>
    <w:rsid w:val="00E23F91"/>
    <w:rsid w:val="00E2411D"/>
    <w:rsid w:val="00E2416A"/>
    <w:rsid w:val="00E24210"/>
    <w:rsid w:val="00E25105"/>
    <w:rsid w:val="00E25797"/>
    <w:rsid w:val="00E25A91"/>
    <w:rsid w:val="00E25D67"/>
    <w:rsid w:val="00E25F89"/>
    <w:rsid w:val="00E266DC"/>
    <w:rsid w:val="00E26AF7"/>
    <w:rsid w:val="00E26F73"/>
    <w:rsid w:val="00E27108"/>
    <w:rsid w:val="00E271B2"/>
    <w:rsid w:val="00E27F4A"/>
    <w:rsid w:val="00E27F92"/>
    <w:rsid w:val="00E304D5"/>
    <w:rsid w:val="00E30EF4"/>
    <w:rsid w:val="00E30F89"/>
    <w:rsid w:val="00E315CA"/>
    <w:rsid w:val="00E315FA"/>
    <w:rsid w:val="00E31921"/>
    <w:rsid w:val="00E31C34"/>
    <w:rsid w:val="00E31D85"/>
    <w:rsid w:val="00E31FDE"/>
    <w:rsid w:val="00E32AE3"/>
    <w:rsid w:val="00E32CA5"/>
    <w:rsid w:val="00E334BE"/>
    <w:rsid w:val="00E336AB"/>
    <w:rsid w:val="00E3395B"/>
    <w:rsid w:val="00E340DD"/>
    <w:rsid w:val="00E34205"/>
    <w:rsid w:val="00E342CD"/>
    <w:rsid w:val="00E342D2"/>
    <w:rsid w:val="00E3432B"/>
    <w:rsid w:val="00E34378"/>
    <w:rsid w:val="00E34666"/>
    <w:rsid w:val="00E34D34"/>
    <w:rsid w:val="00E35B06"/>
    <w:rsid w:val="00E35DFB"/>
    <w:rsid w:val="00E37369"/>
    <w:rsid w:val="00E375A9"/>
    <w:rsid w:val="00E37737"/>
    <w:rsid w:val="00E40C7B"/>
    <w:rsid w:val="00E411C7"/>
    <w:rsid w:val="00E41A3C"/>
    <w:rsid w:val="00E41BF4"/>
    <w:rsid w:val="00E41DCC"/>
    <w:rsid w:val="00E41DD6"/>
    <w:rsid w:val="00E425DF"/>
    <w:rsid w:val="00E427B6"/>
    <w:rsid w:val="00E42BC8"/>
    <w:rsid w:val="00E431E8"/>
    <w:rsid w:val="00E43480"/>
    <w:rsid w:val="00E434F3"/>
    <w:rsid w:val="00E443D2"/>
    <w:rsid w:val="00E446A6"/>
    <w:rsid w:val="00E4485F"/>
    <w:rsid w:val="00E44D2B"/>
    <w:rsid w:val="00E45114"/>
    <w:rsid w:val="00E45319"/>
    <w:rsid w:val="00E45513"/>
    <w:rsid w:val="00E45E5E"/>
    <w:rsid w:val="00E46094"/>
    <w:rsid w:val="00E462F2"/>
    <w:rsid w:val="00E46A42"/>
    <w:rsid w:val="00E47021"/>
    <w:rsid w:val="00E4799E"/>
    <w:rsid w:val="00E47A0F"/>
    <w:rsid w:val="00E47BC0"/>
    <w:rsid w:val="00E47FB7"/>
    <w:rsid w:val="00E502B3"/>
    <w:rsid w:val="00E508E0"/>
    <w:rsid w:val="00E5118E"/>
    <w:rsid w:val="00E515F0"/>
    <w:rsid w:val="00E516D9"/>
    <w:rsid w:val="00E51915"/>
    <w:rsid w:val="00E51C54"/>
    <w:rsid w:val="00E52268"/>
    <w:rsid w:val="00E526B1"/>
    <w:rsid w:val="00E528E3"/>
    <w:rsid w:val="00E53CBC"/>
    <w:rsid w:val="00E53DBA"/>
    <w:rsid w:val="00E53F42"/>
    <w:rsid w:val="00E54043"/>
    <w:rsid w:val="00E54286"/>
    <w:rsid w:val="00E54293"/>
    <w:rsid w:val="00E5439F"/>
    <w:rsid w:val="00E54FEC"/>
    <w:rsid w:val="00E551D0"/>
    <w:rsid w:val="00E55BE4"/>
    <w:rsid w:val="00E55D2D"/>
    <w:rsid w:val="00E566C6"/>
    <w:rsid w:val="00E56E2A"/>
    <w:rsid w:val="00E574B3"/>
    <w:rsid w:val="00E57615"/>
    <w:rsid w:val="00E57890"/>
    <w:rsid w:val="00E57BA7"/>
    <w:rsid w:val="00E602CD"/>
    <w:rsid w:val="00E60380"/>
    <w:rsid w:val="00E60463"/>
    <w:rsid w:val="00E607C7"/>
    <w:rsid w:val="00E60BAE"/>
    <w:rsid w:val="00E6105D"/>
    <w:rsid w:val="00E6122F"/>
    <w:rsid w:val="00E61326"/>
    <w:rsid w:val="00E61C83"/>
    <w:rsid w:val="00E61F46"/>
    <w:rsid w:val="00E61FFC"/>
    <w:rsid w:val="00E621CF"/>
    <w:rsid w:val="00E622D4"/>
    <w:rsid w:val="00E62B8B"/>
    <w:rsid w:val="00E63304"/>
    <w:rsid w:val="00E639FE"/>
    <w:rsid w:val="00E642E7"/>
    <w:rsid w:val="00E64514"/>
    <w:rsid w:val="00E6470A"/>
    <w:rsid w:val="00E650CD"/>
    <w:rsid w:val="00E654EC"/>
    <w:rsid w:val="00E6566F"/>
    <w:rsid w:val="00E659C5"/>
    <w:rsid w:val="00E65AE1"/>
    <w:rsid w:val="00E65F5E"/>
    <w:rsid w:val="00E662A8"/>
    <w:rsid w:val="00E66650"/>
    <w:rsid w:val="00E66CF5"/>
    <w:rsid w:val="00E66D80"/>
    <w:rsid w:val="00E67235"/>
    <w:rsid w:val="00E6746D"/>
    <w:rsid w:val="00E67649"/>
    <w:rsid w:val="00E67731"/>
    <w:rsid w:val="00E67839"/>
    <w:rsid w:val="00E70159"/>
    <w:rsid w:val="00E70308"/>
    <w:rsid w:val="00E704F0"/>
    <w:rsid w:val="00E70970"/>
    <w:rsid w:val="00E7114E"/>
    <w:rsid w:val="00E716D1"/>
    <w:rsid w:val="00E7187C"/>
    <w:rsid w:val="00E71B9B"/>
    <w:rsid w:val="00E71BA5"/>
    <w:rsid w:val="00E7201E"/>
    <w:rsid w:val="00E72448"/>
    <w:rsid w:val="00E72805"/>
    <w:rsid w:val="00E72916"/>
    <w:rsid w:val="00E73326"/>
    <w:rsid w:val="00E733FD"/>
    <w:rsid w:val="00E73B71"/>
    <w:rsid w:val="00E74734"/>
    <w:rsid w:val="00E74EAD"/>
    <w:rsid w:val="00E74F88"/>
    <w:rsid w:val="00E75086"/>
    <w:rsid w:val="00E75999"/>
    <w:rsid w:val="00E75A17"/>
    <w:rsid w:val="00E75BCD"/>
    <w:rsid w:val="00E75CD4"/>
    <w:rsid w:val="00E75E1F"/>
    <w:rsid w:val="00E760BD"/>
    <w:rsid w:val="00E76136"/>
    <w:rsid w:val="00E76619"/>
    <w:rsid w:val="00E7697A"/>
    <w:rsid w:val="00E76B56"/>
    <w:rsid w:val="00E77190"/>
    <w:rsid w:val="00E77D80"/>
    <w:rsid w:val="00E80263"/>
    <w:rsid w:val="00E804F0"/>
    <w:rsid w:val="00E8076C"/>
    <w:rsid w:val="00E80D47"/>
    <w:rsid w:val="00E811AC"/>
    <w:rsid w:val="00E8148A"/>
    <w:rsid w:val="00E816EB"/>
    <w:rsid w:val="00E81BB8"/>
    <w:rsid w:val="00E81CD1"/>
    <w:rsid w:val="00E82011"/>
    <w:rsid w:val="00E82164"/>
    <w:rsid w:val="00E82CDC"/>
    <w:rsid w:val="00E82D83"/>
    <w:rsid w:val="00E82F61"/>
    <w:rsid w:val="00E82F6E"/>
    <w:rsid w:val="00E8343F"/>
    <w:rsid w:val="00E839E5"/>
    <w:rsid w:val="00E83E00"/>
    <w:rsid w:val="00E84482"/>
    <w:rsid w:val="00E845FB"/>
    <w:rsid w:val="00E84B09"/>
    <w:rsid w:val="00E856AA"/>
    <w:rsid w:val="00E85C95"/>
    <w:rsid w:val="00E85C9B"/>
    <w:rsid w:val="00E85E48"/>
    <w:rsid w:val="00E869C9"/>
    <w:rsid w:val="00E87734"/>
    <w:rsid w:val="00E90E9B"/>
    <w:rsid w:val="00E91149"/>
    <w:rsid w:val="00E91740"/>
    <w:rsid w:val="00E917A8"/>
    <w:rsid w:val="00E91C20"/>
    <w:rsid w:val="00E92D2B"/>
    <w:rsid w:val="00E92F16"/>
    <w:rsid w:val="00E9339C"/>
    <w:rsid w:val="00E9408D"/>
    <w:rsid w:val="00E94372"/>
    <w:rsid w:val="00E94863"/>
    <w:rsid w:val="00E94905"/>
    <w:rsid w:val="00E9491D"/>
    <w:rsid w:val="00E9537E"/>
    <w:rsid w:val="00E967CC"/>
    <w:rsid w:val="00E969E2"/>
    <w:rsid w:val="00E96F0E"/>
    <w:rsid w:val="00E96FD1"/>
    <w:rsid w:val="00E97B97"/>
    <w:rsid w:val="00E97CDB"/>
    <w:rsid w:val="00EA06B8"/>
    <w:rsid w:val="00EA0B97"/>
    <w:rsid w:val="00EA0FBC"/>
    <w:rsid w:val="00EA1418"/>
    <w:rsid w:val="00EA15AA"/>
    <w:rsid w:val="00EA1879"/>
    <w:rsid w:val="00EA18D8"/>
    <w:rsid w:val="00EA1BAB"/>
    <w:rsid w:val="00EA1C80"/>
    <w:rsid w:val="00EA2125"/>
    <w:rsid w:val="00EA269F"/>
    <w:rsid w:val="00EA2789"/>
    <w:rsid w:val="00EA2C24"/>
    <w:rsid w:val="00EA345C"/>
    <w:rsid w:val="00EA3691"/>
    <w:rsid w:val="00EA3A68"/>
    <w:rsid w:val="00EA3DA2"/>
    <w:rsid w:val="00EA3DCB"/>
    <w:rsid w:val="00EA48CF"/>
    <w:rsid w:val="00EA54AF"/>
    <w:rsid w:val="00EA55CE"/>
    <w:rsid w:val="00EA5D56"/>
    <w:rsid w:val="00EA68E4"/>
    <w:rsid w:val="00EA69EA"/>
    <w:rsid w:val="00EA71B4"/>
    <w:rsid w:val="00EA7269"/>
    <w:rsid w:val="00EA7AE9"/>
    <w:rsid w:val="00EA7D0F"/>
    <w:rsid w:val="00EB0182"/>
    <w:rsid w:val="00EB0404"/>
    <w:rsid w:val="00EB0733"/>
    <w:rsid w:val="00EB09CD"/>
    <w:rsid w:val="00EB1206"/>
    <w:rsid w:val="00EB1710"/>
    <w:rsid w:val="00EB1797"/>
    <w:rsid w:val="00EB17AD"/>
    <w:rsid w:val="00EB1AB7"/>
    <w:rsid w:val="00EB1C12"/>
    <w:rsid w:val="00EB273E"/>
    <w:rsid w:val="00EB290D"/>
    <w:rsid w:val="00EB2966"/>
    <w:rsid w:val="00EB2B22"/>
    <w:rsid w:val="00EB374C"/>
    <w:rsid w:val="00EB3A8E"/>
    <w:rsid w:val="00EB4EF9"/>
    <w:rsid w:val="00EB520D"/>
    <w:rsid w:val="00EB57BF"/>
    <w:rsid w:val="00EB62C8"/>
    <w:rsid w:val="00EB6355"/>
    <w:rsid w:val="00EB6EB7"/>
    <w:rsid w:val="00EB71FA"/>
    <w:rsid w:val="00EB7EFB"/>
    <w:rsid w:val="00EB7F6A"/>
    <w:rsid w:val="00EC000F"/>
    <w:rsid w:val="00EC0067"/>
    <w:rsid w:val="00EC01F2"/>
    <w:rsid w:val="00EC02CC"/>
    <w:rsid w:val="00EC0476"/>
    <w:rsid w:val="00EC0762"/>
    <w:rsid w:val="00EC16DB"/>
    <w:rsid w:val="00EC1D47"/>
    <w:rsid w:val="00EC30B9"/>
    <w:rsid w:val="00EC38A7"/>
    <w:rsid w:val="00EC3A1E"/>
    <w:rsid w:val="00EC3C15"/>
    <w:rsid w:val="00EC3C6B"/>
    <w:rsid w:val="00EC45E7"/>
    <w:rsid w:val="00EC4AC6"/>
    <w:rsid w:val="00EC4C06"/>
    <w:rsid w:val="00EC4FE2"/>
    <w:rsid w:val="00EC501F"/>
    <w:rsid w:val="00EC519B"/>
    <w:rsid w:val="00EC53DB"/>
    <w:rsid w:val="00EC5B4F"/>
    <w:rsid w:val="00EC6289"/>
    <w:rsid w:val="00EC641D"/>
    <w:rsid w:val="00EC65E7"/>
    <w:rsid w:val="00EC6964"/>
    <w:rsid w:val="00EC69B9"/>
    <w:rsid w:val="00EC6E0B"/>
    <w:rsid w:val="00EC7986"/>
    <w:rsid w:val="00EC7ABB"/>
    <w:rsid w:val="00EC7BEB"/>
    <w:rsid w:val="00EC7DD9"/>
    <w:rsid w:val="00EC7EB9"/>
    <w:rsid w:val="00EC7F0D"/>
    <w:rsid w:val="00EC7FC1"/>
    <w:rsid w:val="00ED04A2"/>
    <w:rsid w:val="00ED0BD9"/>
    <w:rsid w:val="00ED11DD"/>
    <w:rsid w:val="00ED11F4"/>
    <w:rsid w:val="00ED1425"/>
    <w:rsid w:val="00ED1B38"/>
    <w:rsid w:val="00ED1EE7"/>
    <w:rsid w:val="00ED2541"/>
    <w:rsid w:val="00ED30A8"/>
    <w:rsid w:val="00ED3311"/>
    <w:rsid w:val="00ED3972"/>
    <w:rsid w:val="00ED3C43"/>
    <w:rsid w:val="00ED3D61"/>
    <w:rsid w:val="00ED3E6D"/>
    <w:rsid w:val="00ED451E"/>
    <w:rsid w:val="00ED4CE3"/>
    <w:rsid w:val="00ED5032"/>
    <w:rsid w:val="00ED521E"/>
    <w:rsid w:val="00ED5F38"/>
    <w:rsid w:val="00ED60B4"/>
    <w:rsid w:val="00ED6210"/>
    <w:rsid w:val="00ED6623"/>
    <w:rsid w:val="00ED6E11"/>
    <w:rsid w:val="00ED6F35"/>
    <w:rsid w:val="00ED6FAB"/>
    <w:rsid w:val="00ED6FB9"/>
    <w:rsid w:val="00ED7043"/>
    <w:rsid w:val="00ED73E8"/>
    <w:rsid w:val="00ED78A4"/>
    <w:rsid w:val="00ED7A74"/>
    <w:rsid w:val="00ED7E14"/>
    <w:rsid w:val="00ED7F7E"/>
    <w:rsid w:val="00EE0125"/>
    <w:rsid w:val="00EE04B3"/>
    <w:rsid w:val="00EE05DE"/>
    <w:rsid w:val="00EE0A50"/>
    <w:rsid w:val="00EE11B4"/>
    <w:rsid w:val="00EE12EB"/>
    <w:rsid w:val="00EE1562"/>
    <w:rsid w:val="00EE193C"/>
    <w:rsid w:val="00EE1D3D"/>
    <w:rsid w:val="00EE2203"/>
    <w:rsid w:val="00EE26BE"/>
    <w:rsid w:val="00EE305A"/>
    <w:rsid w:val="00EE3361"/>
    <w:rsid w:val="00EE3781"/>
    <w:rsid w:val="00EE3992"/>
    <w:rsid w:val="00EE3C2D"/>
    <w:rsid w:val="00EE43CE"/>
    <w:rsid w:val="00EE4B69"/>
    <w:rsid w:val="00EE6368"/>
    <w:rsid w:val="00EE6818"/>
    <w:rsid w:val="00EE7051"/>
    <w:rsid w:val="00EE7EC6"/>
    <w:rsid w:val="00EF0240"/>
    <w:rsid w:val="00EF07C7"/>
    <w:rsid w:val="00EF086C"/>
    <w:rsid w:val="00EF08A8"/>
    <w:rsid w:val="00EF0DB0"/>
    <w:rsid w:val="00EF1638"/>
    <w:rsid w:val="00EF18FA"/>
    <w:rsid w:val="00EF1BAD"/>
    <w:rsid w:val="00EF3269"/>
    <w:rsid w:val="00EF341A"/>
    <w:rsid w:val="00EF3DAD"/>
    <w:rsid w:val="00EF403C"/>
    <w:rsid w:val="00EF446B"/>
    <w:rsid w:val="00EF46F5"/>
    <w:rsid w:val="00EF4CD4"/>
    <w:rsid w:val="00EF5612"/>
    <w:rsid w:val="00EF5773"/>
    <w:rsid w:val="00EF57BC"/>
    <w:rsid w:val="00EF59BE"/>
    <w:rsid w:val="00EF5FD1"/>
    <w:rsid w:val="00EF60C9"/>
    <w:rsid w:val="00EF694F"/>
    <w:rsid w:val="00EF78BE"/>
    <w:rsid w:val="00EF7971"/>
    <w:rsid w:val="00EF7D54"/>
    <w:rsid w:val="00EF7EEB"/>
    <w:rsid w:val="00F00050"/>
    <w:rsid w:val="00F00565"/>
    <w:rsid w:val="00F00AA9"/>
    <w:rsid w:val="00F01090"/>
    <w:rsid w:val="00F018A8"/>
    <w:rsid w:val="00F01B35"/>
    <w:rsid w:val="00F01EFE"/>
    <w:rsid w:val="00F01F53"/>
    <w:rsid w:val="00F024A2"/>
    <w:rsid w:val="00F02881"/>
    <w:rsid w:val="00F0315B"/>
    <w:rsid w:val="00F03390"/>
    <w:rsid w:val="00F0364A"/>
    <w:rsid w:val="00F0378B"/>
    <w:rsid w:val="00F039C5"/>
    <w:rsid w:val="00F039F9"/>
    <w:rsid w:val="00F03AE3"/>
    <w:rsid w:val="00F03F23"/>
    <w:rsid w:val="00F0444A"/>
    <w:rsid w:val="00F04901"/>
    <w:rsid w:val="00F049ED"/>
    <w:rsid w:val="00F04A7C"/>
    <w:rsid w:val="00F04A86"/>
    <w:rsid w:val="00F04DFB"/>
    <w:rsid w:val="00F0531F"/>
    <w:rsid w:val="00F05652"/>
    <w:rsid w:val="00F05DFC"/>
    <w:rsid w:val="00F064B9"/>
    <w:rsid w:val="00F069F2"/>
    <w:rsid w:val="00F06AD4"/>
    <w:rsid w:val="00F06C1C"/>
    <w:rsid w:val="00F06E3A"/>
    <w:rsid w:val="00F0737A"/>
    <w:rsid w:val="00F07A76"/>
    <w:rsid w:val="00F07AFB"/>
    <w:rsid w:val="00F104DF"/>
    <w:rsid w:val="00F10FBA"/>
    <w:rsid w:val="00F114E8"/>
    <w:rsid w:val="00F11837"/>
    <w:rsid w:val="00F12480"/>
    <w:rsid w:val="00F12882"/>
    <w:rsid w:val="00F12C95"/>
    <w:rsid w:val="00F132C9"/>
    <w:rsid w:val="00F13308"/>
    <w:rsid w:val="00F136D3"/>
    <w:rsid w:val="00F136EF"/>
    <w:rsid w:val="00F13924"/>
    <w:rsid w:val="00F14BB3"/>
    <w:rsid w:val="00F15338"/>
    <w:rsid w:val="00F1549D"/>
    <w:rsid w:val="00F15AF7"/>
    <w:rsid w:val="00F15DC6"/>
    <w:rsid w:val="00F16107"/>
    <w:rsid w:val="00F162E5"/>
    <w:rsid w:val="00F16BD7"/>
    <w:rsid w:val="00F16F97"/>
    <w:rsid w:val="00F16FFE"/>
    <w:rsid w:val="00F17169"/>
    <w:rsid w:val="00F17479"/>
    <w:rsid w:val="00F175B7"/>
    <w:rsid w:val="00F176BD"/>
    <w:rsid w:val="00F178B3"/>
    <w:rsid w:val="00F17911"/>
    <w:rsid w:val="00F17E7A"/>
    <w:rsid w:val="00F205BD"/>
    <w:rsid w:val="00F2062A"/>
    <w:rsid w:val="00F20B0E"/>
    <w:rsid w:val="00F2115B"/>
    <w:rsid w:val="00F211C3"/>
    <w:rsid w:val="00F217D3"/>
    <w:rsid w:val="00F21814"/>
    <w:rsid w:val="00F220C5"/>
    <w:rsid w:val="00F221A4"/>
    <w:rsid w:val="00F221D2"/>
    <w:rsid w:val="00F225BC"/>
    <w:rsid w:val="00F22659"/>
    <w:rsid w:val="00F2337D"/>
    <w:rsid w:val="00F237DD"/>
    <w:rsid w:val="00F23856"/>
    <w:rsid w:val="00F24268"/>
    <w:rsid w:val="00F24470"/>
    <w:rsid w:val="00F2458F"/>
    <w:rsid w:val="00F24626"/>
    <w:rsid w:val="00F24ED6"/>
    <w:rsid w:val="00F2556A"/>
    <w:rsid w:val="00F255CF"/>
    <w:rsid w:val="00F256AC"/>
    <w:rsid w:val="00F25766"/>
    <w:rsid w:val="00F25897"/>
    <w:rsid w:val="00F25A09"/>
    <w:rsid w:val="00F2602F"/>
    <w:rsid w:val="00F2619F"/>
    <w:rsid w:val="00F261EE"/>
    <w:rsid w:val="00F264AC"/>
    <w:rsid w:val="00F26896"/>
    <w:rsid w:val="00F26F08"/>
    <w:rsid w:val="00F2733A"/>
    <w:rsid w:val="00F27516"/>
    <w:rsid w:val="00F27C33"/>
    <w:rsid w:val="00F27EB4"/>
    <w:rsid w:val="00F30136"/>
    <w:rsid w:val="00F302BF"/>
    <w:rsid w:val="00F3064A"/>
    <w:rsid w:val="00F309FE"/>
    <w:rsid w:val="00F30F19"/>
    <w:rsid w:val="00F30FD5"/>
    <w:rsid w:val="00F3243E"/>
    <w:rsid w:val="00F32A04"/>
    <w:rsid w:val="00F32AEE"/>
    <w:rsid w:val="00F32DD3"/>
    <w:rsid w:val="00F3308A"/>
    <w:rsid w:val="00F3395B"/>
    <w:rsid w:val="00F3396F"/>
    <w:rsid w:val="00F3397F"/>
    <w:rsid w:val="00F34085"/>
    <w:rsid w:val="00F3471D"/>
    <w:rsid w:val="00F35262"/>
    <w:rsid w:val="00F35851"/>
    <w:rsid w:val="00F36047"/>
    <w:rsid w:val="00F36133"/>
    <w:rsid w:val="00F361B9"/>
    <w:rsid w:val="00F36222"/>
    <w:rsid w:val="00F36482"/>
    <w:rsid w:val="00F3660A"/>
    <w:rsid w:val="00F367BE"/>
    <w:rsid w:val="00F36E2D"/>
    <w:rsid w:val="00F36FC4"/>
    <w:rsid w:val="00F37037"/>
    <w:rsid w:val="00F37147"/>
    <w:rsid w:val="00F376FD"/>
    <w:rsid w:val="00F37F3C"/>
    <w:rsid w:val="00F4079D"/>
    <w:rsid w:val="00F40B64"/>
    <w:rsid w:val="00F40DB0"/>
    <w:rsid w:val="00F4152F"/>
    <w:rsid w:val="00F41720"/>
    <w:rsid w:val="00F42664"/>
    <w:rsid w:val="00F427C7"/>
    <w:rsid w:val="00F428C0"/>
    <w:rsid w:val="00F42A0D"/>
    <w:rsid w:val="00F42A49"/>
    <w:rsid w:val="00F42E1E"/>
    <w:rsid w:val="00F42EBC"/>
    <w:rsid w:val="00F432A4"/>
    <w:rsid w:val="00F43415"/>
    <w:rsid w:val="00F43772"/>
    <w:rsid w:val="00F43ADF"/>
    <w:rsid w:val="00F43CD9"/>
    <w:rsid w:val="00F43F8F"/>
    <w:rsid w:val="00F450D3"/>
    <w:rsid w:val="00F45477"/>
    <w:rsid w:val="00F456FB"/>
    <w:rsid w:val="00F466FE"/>
    <w:rsid w:val="00F46AF9"/>
    <w:rsid w:val="00F477FC"/>
    <w:rsid w:val="00F478BD"/>
    <w:rsid w:val="00F47939"/>
    <w:rsid w:val="00F50885"/>
    <w:rsid w:val="00F518A3"/>
    <w:rsid w:val="00F51BC7"/>
    <w:rsid w:val="00F51EC0"/>
    <w:rsid w:val="00F521BD"/>
    <w:rsid w:val="00F52417"/>
    <w:rsid w:val="00F526C5"/>
    <w:rsid w:val="00F52983"/>
    <w:rsid w:val="00F52D1D"/>
    <w:rsid w:val="00F52F83"/>
    <w:rsid w:val="00F52FA6"/>
    <w:rsid w:val="00F53161"/>
    <w:rsid w:val="00F5332E"/>
    <w:rsid w:val="00F5360B"/>
    <w:rsid w:val="00F5413D"/>
    <w:rsid w:val="00F54229"/>
    <w:rsid w:val="00F54231"/>
    <w:rsid w:val="00F543FD"/>
    <w:rsid w:val="00F54482"/>
    <w:rsid w:val="00F548F5"/>
    <w:rsid w:val="00F55760"/>
    <w:rsid w:val="00F55A5F"/>
    <w:rsid w:val="00F55E4E"/>
    <w:rsid w:val="00F565F4"/>
    <w:rsid w:val="00F569D6"/>
    <w:rsid w:val="00F5728F"/>
    <w:rsid w:val="00F572FC"/>
    <w:rsid w:val="00F578B3"/>
    <w:rsid w:val="00F57A1E"/>
    <w:rsid w:val="00F6011A"/>
    <w:rsid w:val="00F60CD4"/>
    <w:rsid w:val="00F610F0"/>
    <w:rsid w:val="00F619AC"/>
    <w:rsid w:val="00F61BA8"/>
    <w:rsid w:val="00F61BBB"/>
    <w:rsid w:val="00F61DC3"/>
    <w:rsid w:val="00F62C83"/>
    <w:rsid w:val="00F6335D"/>
    <w:rsid w:val="00F6370E"/>
    <w:rsid w:val="00F63854"/>
    <w:rsid w:val="00F63D9C"/>
    <w:rsid w:val="00F63F17"/>
    <w:rsid w:val="00F64893"/>
    <w:rsid w:val="00F64A4C"/>
    <w:rsid w:val="00F65819"/>
    <w:rsid w:val="00F65AF9"/>
    <w:rsid w:val="00F65BDD"/>
    <w:rsid w:val="00F66157"/>
    <w:rsid w:val="00F675CB"/>
    <w:rsid w:val="00F676FA"/>
    <w:rsid w:val="00F6794E"/>
    <w:rsid w:val="00F67C6E"/>
    <w:rsid w:val="00F67F2B"/>
    <w:rsid w:val="00F70817"/>
    <w:rsid w:val="00F70BBE"/>
    <w:rsid w:val="00F70CDA"/>
    <w:rsid w:val="00F70D0B"/>
    <w:rsid w:val="00F71B69"/>
    <w:rsid w:val="00F72E9C"/>
    <w:rsid w:val="00F7340E"/>
    <w:rsid w:val="00F737F0"/>
    <w:rsid w:val="00F73E6B"/>
    <w:rsid w:val="00F73FE0"/>
    <w:rsid w:val="00F7401F"/>
    <w:rsid w:val="00F74778"/>
    <w:rsid w:val="00F75271"/>
    <w:rsid w:val="00F755A8"/>
    <w:rsid w:val="00F7591C"/>
    <w:rsid w:val="00F75CEC"/>
    <w:rsid w:val="00F75D41"/>
    <w:rsid w:val="00F76755"/>
    <w:rsid w:val="00F76950"/>
    <w:rsid w:val="00F76961"/>
    <w:rsid w:val="00F76ACA"/>
    <w:rsid w:val="00F7725F"/>
    <w:rsid w:val="00F7732C"/>
    <w:rsid w:val="00F77571"/>
    <w:rsid w:val="00F80189"/>
    <w:rsid w:val="00F80C7C"/>
    <w:rsid w:val="00F81849"/>
    <w:rsid w:val="00F81AFD"/>
    <w:rsid w:val="00F81DB2"/>
    <w:rsid w:val="00F81DD3"/>
    <w:rsid w:val="00F82257"/>
    <w:rsid w:val="00F82543"/>
    <w:rsid w:val="00F825FE"/>
    <w:rsid w:val="00F8280D"/>
    <w:rsid w:val="00F82D6B"/>
    <w:rsid w:val="00F83011"/>
    <w:rsid w:val="00F838C6"/>
    <w:rsid w:val="00F83C32"/>
    <w:rsid w:val="00F83D4A"/>
    <w:rsid w:val="00F842B8"/>
    <w:rsid w:val="00F84982"/>
    <w:rsid w:val="00F84B60"/>
    <w:rsid w:val="00F84C0D"/>
    <w:rsid w:val="00F84E8C"/>
    <w:rsid w:val="00F85728"/>
    <w:rsid w:val="00F85889"/>
    <w:rsid w:val="00F860B7"/>
    <w:rsid w:val="00F8648E"/>
    <w:rsid w:val="00F86692"/>
    <w:rsid w:val="00F86694"/>
    <w:rsid w:val="00F866B7"/>
    <w:rsid w:val="00F86707"/>
    <w:rsid w:val="00F8730E"/>
    <w:rsid w:val="00F87643"/>
    <w:rsid w:val="00F87F2E"/>
    <w:rsid w:val="00F902E2"/>
    <w:rsid w:val="00F90CF7"/>
    <w:rsid w:val="00F90F8A"/>
    <w:rsid w:val="00F91737"/>
    <w:rsid w:val="00F92170"/>
    <w:rsid w:val="00F926D3"/>
    <w:rsid w:val="00F92A6F"/>
    <w:rsid w:val="00F92B61"/>
    <w:rsid w:val="00F92D16"/>
    <w:rsid w:val="00F9327C"/>
    <w:rsid w:val="00F948FD"/>
    <w:rsid w:val="00F94996"/>
    <w:rsid w:val="00F94B53"/>
    <w:rsid w:val="00F94B6E"/>
    <w:rsid w:val="00F94CCE"/>
    <w:rsid w:val="00F956A5"/>
    <w:rsid w:val="00F96082"/>
    <w:rsid w:val="00F96349"/>
    <w:rsid w:val="00F96B60"/>
    <w:rsid w:val="00F970F0"/>
    <w:rsid w:val="00F97560"/>
    <w:rsid w:val="00F97B69"/>
    <w:rsid w:val="00F97E0E"/>
    <w:rsid w:val="00FA01A8"/>
    <w:rsid w:val="00FA0429"/>
    <w:rsid w:val="00FA14F4"/>
    <w:rsid w:val="00FA1884"/>
    <w:rsid w:val="00FA1F3A"/>
    <w:rsid w:val="00FA22D7"/>
    <w:rsid w:val="00FA244A"/>
    <w:rsid w:val="00FA2EA6"/>
    <w:rsid w:val="00FA3238"/>
    <w:rsid w:val="00FA38EA"/>
    <w:rsid w:val="00FA3BE5"/>
    <w:rsid w:val="00FA3CA7"/>
    <w:rsid w:val="00FA4145"/>
    <w:rsid w:val="00FA4BED"/>
    <w:rsid w:val="00FA509B"/>
    <w:rsid w:val="00FA5603"/>
    <w:rsid w:val="00FA58B7"/>
    <w:rsid w:val="00FA5FC7"/>
    <w:rsid w:val="00FA6289"/>
    <w:rsid w:val="00FA63FA"/>
    <w:rsid w:val="00FA6590"/>
    <w:rsid w:val="00FA6A39"/>
    <w:rsid w:val="00FA70CF"/>
    <w:rsid w:val="00FA78FC"/>
    <w:rsid w:val="00FA7DAC"/>
    <w:rsid w:val="00FB09CE"/>
    <w:rsid w:val="00FB0F5C"/>
    <w:rsid w:val="00FB1952"/>
    <w:rsid w:val="00FB1C37"/>
    <w:rsid w:val="00FB1C6B"/>
    <w:rsid w:val="00FB21F0"/>
    <w:rsid w:val="00FB22EC"/>
    <w:rsid w:val="00FB2502"/>
    <w:rsid w:val="00FB2835"/>
    <w:rsid w:val="00FB2F48"/>
    <w:rsid w:val="00FB30C5"/>
    <w:rsid w:val="00FB32CB"/>
    <w:rsid w:val="00FB35B7"/>
    <w:rsid w:val="00FB35E0"/>
    <w:rsid w:val="00FB3897"/>
    <w:rsid w:val="00FB3B96"/>
    <w:rsid w:val="00FB4D6A"/>
    <w:rsid w:val="00FB5164"/>
    <w:rsid w:val="00FB60CD"/>
    <w:rsid w:val="00FB631F"/>
    <w:rsid w:val="00FB6B12"/>
    <w:rsid w:val="00FB6C8A"/>
    <w:rsid w:val="00FB6EC3"/>
    <w:rsid w:val="00FB6F27"/>
    <w:rsid w:val="00FB7CF5"/>
    <w:rsid w:val="00FC05A7"/>
    <w:rsid w:val="00FC0689"/>
    <w:rsid w:val="00FC0D24"/>
    <w:rsid w:val="00FC1193"/>
    <w:rsid w:val="00FC1DF7"/>
    <w:rsid w:val="00FC2177"/>
    <w:rsid w:val="00FC22D8"/>
    <w:rsid w:val="00FC2799"/>
    <w:rsid w:val="00FC2B0B"/>
    <w:rsid w:val="00FC2ECD"/>
    <w:rsid w:val="00FC3049"/>
    <w:rsid w:val="00FC3172"/>
    <w:rsid w:val="00FC368A"/>
    <w:rsid w:val="00FC3B5D"/>
    <w:rsid w:val="00FC3C2E"/>
    <w:rsid w:val="00FC3DD9"/>
    <w:rsid w:val="00FC423B"/>
    <w:rsid w:val="00FC4786"/>
    <w:rsid w:val="00FC47F4"/>
    <w:rsid w:val="00FC4ADF"/>
    <w:rsid w:val="00FC4DFC"/>
    <w:rsid w:val="00FC533A"/>
    <w:rsid w:val="00FC55B8"/>
    <w:rsid w:val="00FC5930"/>
    <w:rsid w:val="00FC5A4B"/>
    <w:rsid w:val="00FC5B76"/>
    <w:rsid w:val="00FC67B1"/>
    <w:rsid w:val="00FC683B"/>
    <w:rsid w:val="00FC6A02"/>
    <w:rsid w:val="00FC6DA0"/>
    <w:rsid w:val="00FC732A"/>
    <w:rsid w:val="00FC7CEA"/>
    <w:rsid w:val="00FD0133"/>
    <w:rsid w:val="00FD053C"/>
    <w:rsid w:val="00FD0965"/>
    <w:rsid w:val="00FD09AC"/>
    <w:rsid w:val="00FD0D0B"/>
    <w:rsid w:val="00FD124C"/>
    <w:rsid w:val="00FD1735"/>
    <w:rsid w:val="00FD1AD9"/>
    <w:rsid w:val="00FD2080"/>
    <w:rsid w:val="00FD22C8"/>
    <w:rsid w:val="00FD2DB3"/>
    <w:rsid w:val="00FD3DA9"/>
    <w:rsid w:val="00FD3E8F"/>
    <w:rsid w:val="00FD40BE"/>
    <w:rsid w:val="00FD4192"/>
    <w:rsid w:val="00FD43AC"/>
    <w:rsid w:val="00FD471C"/>
    <w:rsid w:val="00FD52E2"/>
    <w:rsid w:val="00FD5600"/>
    <w:rsid w:val="00FD5931"/>
    <w:rsid w:val="00FD5AC8"/>
    <w:rsid w:val="00FD5E04"/>
    <w:rsid w:val="00FD685B"/>
    <w:rsid w:val="00FD6C31"/>
    <w:rsid w:val="00FD6DD1"/>
    <w:rsid w:val="00FD6FCC"/>
    <w:rsid w:val="00FD7209"/>
    <w:rsid w:val="00FD72C4"/>
    <w:rsid w:val="00FD76BD"/>
    <w:rsid w:val="00FD76F2"/>
    <w:rsid w:val="00FD79F2"/>
    <w:rsid w:val="00FE018A"/>
    <w:rsid w:val="00FE04B5"/>
    <w:rsid w:val="00FE0526"/>
    <w:rsid w:val="00FE0561"/>
    <w:rsid w:val="00FE0F75"/>
    <w:rsid w:val="00FE185F"/>
    <w:rsid w:val="00FE1986"/>
    <w:rsid w:val="00FE1B8B"/>
    <w:rsid w:val="00FE1CC4"/>
    <w:rsid w:val="00FE20A5"/>
    <w:rsid w:val="00FE221E"/>
    <w:rsid w:val="00FE2674"/>
    <w:rsid w:val="00FE29F0"/>
    <w:rsid w:val="00FE2E5C"/>
    <w:rsid w:val="00FE318C"/>
    <w:rsid w:val="00FE380E"/>
    <w:rsid w:val="00FE3826"/>
    <w:rsid w:val="00FE3A49"/>
    <w:rsid w:val="00FE3BC7"/>
    <w:rsid w:val="00FE49DA"/>
    <w:rsid w:val="00FE50B4"/>
    <w:rsid w:val="00FE5B87"/>
    <w:rsid w:val="00FE5D27"/>
    <w:rsid w:val="00FE5E95"/>
    <w:rsid w:val="00FE67B0"/>
    <w:rsid w:val="00FE6A19"/>
    <w:rsid w:val="00FE6A72"/>
    <w:rsid w:val="00FE72E0"/>
    <w:rsid w:val="00FE7BA6"/>
    <w:rsid w:val="00FE7F80"/>
    <w:rsid w:val="00FE7FCC"/>
    <w:rsid w:val="00FF00C2"/>
    <w:rsid w:val="00FF04F7"/>
    <w:rsid w:val="00FF0923"/>
    <w:rsid w:val="00FF0B08"/>
    <w:rsid w:val="00FF1F96"/>
    <w:rsid w:val="00FF211B"/>
    <w:rsid w:val="00FF26F3"/>
    <w:rsid w:val="00FF2E33"/>
    <w:rsid w:val="00FF2F0D"/>
    <w:rsid w:val="00FF3203"/>
    <w:rsid w:val="00FF3232"/>
    <w:rsid w:val="00FF3270"/>
    <w:rsid w:val="00FF32BF"/>
    <w:rsid w:val="00FF33DC"/>
    <w:rsid w:val="00FF350D"/>
    <w:rsid w:val="00FF3851"/>
    <w:rsid w:val="00FF3C94"/>
    <w:rsid w:val="00FF3FF3"/>
    <w:rsid w:val="00FF405C"/>
    <w:rsid w:val="00FF409D"/>
    <w:rsid w:val="00FF40C1"/>
    <w:rsid w:val="00FF432E"/>
    <w:rsid w:val="00FF4349"/>
    <w:rsid w:val="00FF466E"/>
    <w:rsid w:val="00FF4852"/>
    <w:rsid w:val="00FF4898"/>
    <w:rsid w:val="00FF4AFE"/>
    <w:rsid w:val="00FF4C68"/>
    <w:rsid w:val="00FF50D9"/>
    <w:rsid w:val="00FF5500"/>
    <w:rsid w:val="00FF561F"/>
    <w:rsid w:val="00FF5823"/>
    <w:rsid w:val="00FF5C7F"/>
    <w:rsid w:val="00FF5D29"/>
    <w:rsid w:val="00FF5F38"/>
    <w:rsid w:val="00FF60F6"/>
    <w:rsid w:val="00FF613E"/>
    <w:rsid w:val="00FF6293"/>
    <w:rsid w:val="00FF6527"/>
    <w:rsid w:val="00FF666B"/>
    <w:rsid w:val="00FF710D"/>
    <w:rsid w:val="03EC605E"/>
    <w:rsid w:val="0A046F42"/>
    <w:rsid w:val="0EF339D5"/>
    <w:rsid w:val="101247EE"/>
    <w:rsid w:val="15210474"/>
    <w:rsid w:val="301B64B2"/>
    <w:rsid w:val="34986224"/>
    <w:rsid w:val="349A1620"/>
    <w:rsid w:val="3C976AC9"/>
    <w:rsid w:val="3EFF5E69"/>
    <w:rsid w:val="49494CF1"/>
    <w:rsid w:val="4C731722"/>
    <w:rsid w:val="4E88393C"/>
    <w:rsid w:val="4FF84D7B"/>
    <w:rsid w:val="5D895ECF"/>
    <w:rsid w:val="5E27164D"/>
    <w:rsid w:val="5E5902AF"/>
    <w:rsid w:val="640A7584"/>
    <w:rsid w:val="65C1675F"/>
    <w:rsid w:val="65C23B03"/>
    <w:rsid w:val="65E920BA"/>
    <w:rsid w:val="663012BB"/>
    <w:rsid w:val="66E77C30"/>
    <w:rsid w:val="67FA150B"/>
    <w:rsid w:val="6F8341F4"/>
    <w:rsid w:val="736A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qFormat="1" w:unhideWhenUsed="0"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21"/>
    <w:uiPriority w:val="0"/>
    <w:rPr>
      <w:rFonts w:eastAsia="仿宋_GB2312"/>
      <w:kern w:val="0"/>
      <w:sz w:val="20"/>
      <w:lang w:val="zh-CN"/>
    </w:rPr>
  </w:style>
  <w:style w:type="paragraph" w:styleId="3">
    <w:name w:val="Date"/>
    <w:basedOn w:val="1"/>
    <w:next w:val="1"/>
    <w:link w:val="20"/>
    <w:qFormat/>
    <w:uiPriority w:val="0"/>
    <w:pPr>
      <w:ind w:left="100" w:leftChars="2500"/>
    </w:pPr>
    <w:rPr>
      <w:kern w:val="0"/>
      <w:sz w:val="20"/>
      <w:lang w:val="zh-CN"/>
    </w:rPr>
  </w:style>
  <w:style w:type="paragraph" w:styleId="4">
    <w:name w:val="Balloon Text"/>
    <w:basedOn w:val="1"/>
    <w:link w:val="16"/>
    <w:semiHidden/>
    <w:qFormat/>
    <w:uiPriority w:val="0"/>
    <w:rPr>
      <w:kern w:val="0"/>
      <w:sz w:val="18"/>
      <w:szCs w:val="18"/>
      <w:lang w:val="zh-CN"/>
    </w:rPr>
  </w:style>
  <w:style w:type="paragraph" w:styleId="5">
    <w:name w:val="footer"/>
    <w:basedOn w:val="1"/>
    <w:link w:val="18"/>
    <w:qFormat/>
    <w:uiPriority w:val="0"/>
    <w:pPr>
      <w:tabs>
        <w:tab w:val="center" w:pos="4153"/>
        <w:tab w:val="right" w:pos="8306"/>
      </w:tabs>
      <w:snapToGrid w:val="0"/>
      <w:jc w:val="left"/>
    </w:pPr>
    <w:rPr>
      <w:kern w:val="0"/>
      <w:sz w:val="18"/>
      <w:szCs w:val="18"/>
      <w:lang w:val="zh-CN"/>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7">
    <w:name w:val="Subtitle"/>
    <w:basedOn w:val="1"/>
    <w:link w:val="22"/>
    <w:qFormat/>
    <w:uiPriority w:val="0"/>
    <w:pPr>
      <w:adjustRightInd w:val="0"/>
      <w:spacing w:line="578" w:lineRule="atLeast"/>
      <w:jc w:val="center"/>
      <w:textAlignment w:val="baseline"/>
    </w:pPr>
    <w:rPr>
      <w:rFonts w:ascii="Arial" w:hAnsi="Arial"/>
      <w:b/>
      <w:color w:val="000000"/>
      <w:kern w:val="0"/>
      <w:sz w:val="20"/>
      <w:lang w:val="zh-CN"/>
    </w:rPr>
  </w:style>
  <w:style w:type="paragraph" w:styleId="8">
    <w:name w:val="footnote text"/>
    <w:basedOn w:val="1"/>
    <w:link w:val="19"/>
    <w:qFormat/>
    <w:uiPriority w:val="99"/>
    <w:pPr>
      <w:snapToGrid w:val="0"/>
      <w:jc w:val="left"/>
    </w:pPr>
    <w:rPr>
      <w:rFonts w:ascii="Calibri" w:hAnsi="Calibri"/>
      <w:kern w:val="0"/>
      <w:sz w:val="18"/>
      <w:szCs w:val="18"/>
      <w:lang w:val="zh-CN"/>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locked/>
    <w:uiPriority w:val="22"/>
    <w:rPr>
      <w:b/>
      <w:bCs/>
    </w:rPr>
  </w:style>
  <w:style w:type="character" w:styleId="13">
    <w:name w:val="page number"/>
    <w:basedOn w:val="11"/>
    <w:qFormat/>
    <w:uiPriority w:val="0"/>
  </w:style>
  <w:style w:type="character" w:styleId="14">
    <w:name w:val="footnote reference"/>
    <w:qFormat/>
    <w:uiPriority w:val="0"/>
    <w:rPr>
      <w:vertAlign w:val="superscript"/>
    </w:rPr>
  </w:style>
  <w:style w:type="paragraph" w:customStyle="1" w:styleId="15">
    <w:name w:val="Char"/>
    <w:basedOn w:val="1"/>
    <w:qFormat/>
    <w:uiPriority w:val="0"/>
    <w:rPr>
      <w:rFonts w:ascii="Tahoma" w:hAnsi="Tahoma"/>
      <w:sz w:val="24"/>
    </w:rPr>
  </w:style>
  <w:style w:type="character" w:customStyle="1" w:styleId="16">
    <w:name w:val="批注框文本 Char"/>
    <w:link w:val="4"/>
    <w:semiHidden/>
    <w:qFormat/>
    <w:locked/>
    <w:uiPriority w:val="0"/>
    <w:rPr>
      <w:rFonts w:ascii="Times New Roman" w:hAnsi="Times New Roman" w:eastAsia="宋体" w:cs="Times New Roman"/>
      <w:sz w:val="18"/>
      <w:szCs w:val="18"/>
    </w:rPr>
  </w:style>
  <w:style w:type="character" w:customStyle="1" w:styleId="17">
    <w:name w:val="页眉 Char"/>
    <w:link w:val="6"/>
    <w:qFormat/>
    <w:locked/>
    <w:uiPriority w:val="0"/>
    <w:rPr>
      <w:rFonts w:ascii="Times New Roman" w:hAnsi="Times New Roman" w:eastAsia="宋体" w:cs="Times New Roman"/>
      <w:sz w:val="18"/>
      <w:szCs w:val="18"/>
    </w:rPr>
  </w:style>
  <w:style w:type="character" w:customStyle="1" w:styleId="18">
    <w:name w:val="页脚 Char"/>
    <w:link w:val="5"/>
    <w:qFormat/>
    <w:locked/>
    <w:uiPriority w:val="0"/>
    <w:rPr>
      <w:rFonts w:ascii="Times New Roman" w:hAnsi="Times New Roman" w:eastAsia="宋体" w:cs="Times New Roman"/>
      <w:sz w:val="18"/>
      <w:szCs w:val="18"/>
    </w:rPr>
  </w:style>
  <w:style w:type="character" w:customStyle="1" w:styleId="19">
    <w:name w:val="脚注文本 Char"/>
    <w:link w:val="8"/>
    <w:qFormat/>
    <w:locked/>
    <w:uiPriority w:val="99"/>
    <w:rPr>
      <w:rFonts w:ascii="Calibri" w:hAnsi="Calibri" w:eastAsia="宋体" w:cs="Times New Roman"/>
      <w:sz w:val="18"/>
      <w:szCs w:val="18"/>
    </w:rPr>
  </w:style>
  <w:style w:type="character" w:customStyle="1" w:styleId="20">
    <w:name w:val="日期 Char"/>
    <w:link w:val="3"/>
    <w:semiHidden/>
    <w:qFormat/>
    <w:locked/>
    <w:uiPriority w:val="0"/>
    <w:rPr>
      <w:rFonts w:ascii="Times New Roman" w:hAnsi="Times New Roman" w:eastAsia="宋体" w:cs="Times New Roman"/>
      <w:sz w:val="20"/>
      <w:szCs w:val="20"/>
    </w:rPr>
  </w:style>
  <w:style w:type="character" w:customStyle="1" w:styleId="21">
    <w:name w:val="正文文本 Char"/>
    <w:link w:val="2"/>
    <w:qFormat/>
    <w:locked/>
    <w:uiPriority w:val="0"/>
    <w:rPr>
      <w:rFonts w:ascii="Times New Roman" w:hAnsi="Times New Roman" w:eastAsia="仿宋_GB2312" w:cs="Times New Roman"/>
      <w:sz w:val="20"/>
      <w:szCs w:val="20"/>
    </w:rPr>
  </w:style>
  <w:style w:type="character" w:customStyle="1" w:styleId="22">
    <w:name w:val="副标题 Char"/>
    <w:link w:val="7"/>
    <w:qFormat/>
    <w:locked/>
    <w:uiPriority w:val="0"/>
    <w:rPr>
      <w:rFonts w:ascii="Arial" w:hAnsi="Arial" w:eastAsia="宋体" w:cs="Times New Roman"/>
      <w:b/>
      <w:color w:val="000000"/>
      <w:kern w:val="0"/>
      <w:sz w:val="20"/>
      <w:szCs w:val="20"/>
    </w:rPr>
  </w:style>
  <w:style w:type="character" w:customStyle="1" w:styleId="23">
    <w:name w:val="p141"/>
    <w:qFormat/>
    <w:uiPriority w:val="0"/>
    <w:rPr>
      <w:sz w:val="21"/>
      <w:u w:val="none"/>
    </w:rPr>
  </w:style>
  <w:style w:type="paragraph" w:customStyle="1" w:styleId="24">
    <w:name w:val="列出段落1"/>
    <w:basedOn w:val="1"/>
    <w:qFormat/>
    <w:uiPriority w:val="34"/>
    <w:pPr>
      <w:ind w:firstLine="420" w:firstLineChars="200"/>
    </w:pPr>
    <w:rPr>
      <w:rFonts w:ascii="Calibri" w:hAnsi="Calibri"/>
      <w:szCs w:val="22"/>
    </w:rPr>
  </w:style>
  <w:style w:type="paragraph" w:customStyle="1" w:styleId="25">
    <w:name w:val="主题词"/>
    <w:basedOn w:val="1"/>
    <w:qFormat/>
    <w:uiPriority w:val="0"/>
    <w:pPr>
      <w:adjustRightInd w:val="0"/>
      <w:spacing w:line="578" w:lineRule="atLeast"/>
      <w:textAlignment w:val="baseline"/>
    </w:pPr>
    <w:rPr>
      <w:rFonts w:ascii="宋体" w:hAnsi="Arial"/>
      <w:b/>
      <w:color w:val="000000"/>
      <w:kern w:val="0"/>
      <w:sz w:val="32"/>
    </w:rPr>
  </w:style>
  <w:style w:type="character" w:customStyle="1" w:styleId="26">
    <w:name w:val="NormalCharacter"/>
    <w:qFormat/>
    <w:uiPriority w:val="0"/>
  </w:style>
  <w:style w:type="paragraph" w:customStyle="1" w:styleId="27">
    <w:name w:val="Char Char2"/>
    <w:basedOn w:val="1"/>
    <w:qFormat/>
    <w:uiPriority w:val="0"/>
    <w:pPr>
      <w:widowControl/>
      <w:spacing w:after="160" w:line="240" w:lineRule="exact"/>
      <w:jc w:val="left"/>
    </w:pPr>
    <w:rPr>
      <w:rFonts w:ascii="Verdana" w:hAnsi="Verdana" w:eastAsia="仿宋_GB2312"/>
      <w:kern w:val="0"/>
      <w:sz w:val="24"/>
      <w:lang w:eastAsia="en-US"/>
    </w:rPr>
  </w:style>
  <w:style w:type="paragraph" w:styleId="28">
    <w:name w:val="List Paragraph"/>
    <w:basedOn w:val="1"/>
    <w:qFormat/>
    <w:uiPriority w:val="99"/>
    <w:pPr>
      <w:ind w:firstLine="420" w:firstLineChars="200"/>
    </w:pPr>
  </w:style>
  <w:style w:type="paragraph" w:customStyle="1" w:styleId="2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0">
    <w:name w:val="Char Char"/>
    <w:basedOn w:val="1"/>
    <w:qFormat/>
    <w:uiPriority w:val="0"/>
    <w:rPr>
      <w:rFonts w:ascii="Tahoma" w:hAnsi="Tahoma"/>
      <w:sz w:val="24"/>
    </w:rPr>
  </w:style>
  <w:style w:type="paragraph" w:customStyle="1" w:styleId="31">
    <w:name w:val="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00A54-D252-4641-B019-E7AC7C6052D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29</Pages>
  <Words>14481</Words>
  <Characters>986</Characters>
  <Lines>8</Lines>
  <Paragraphs>30</Paragraphs>
  <TotalTime>13</TotalTime>
  <ScaleCrop>false</ScaleCrop>
  <LinksUpToDate>false</LinksUpToDate>
  <CharactersWithSpaces>15437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2021-12-12T12:02:00Z</dcterms:created>
  <dc:creator>赵欣</dc:creator>
  <cp:lastModifiedBy>吉立</cp:lastModifiedBy>
  <cp:lastPrinted>2021-12-17T02:52:00Z</cp:lastPrinted>
  <dcterms:modified xsi:type="dcterms:W3CDTF">2021-12-17T02:55:17Z</dcterms:modified>
  <dc:title>区十五届六次人代会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D33F885D641B47B3880132C49F921BA4</vt:lpwstr>
  </property>
</Properties>
</file>