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24D8">
      <w:pPr>
        <w:pStyle w:val="31"/>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关于</w:t>
      </w:r>
      <w:r>
        <w:rPr>
          <w:rFonts w:hint="eastAsia"/>
          <w:color w:val="000000" w:themeColor="text1"/>
          <w14:textFill>
            <w14:solidFill>
              <w14:schemeClr w14:val="tx1"/>
            </w14:solidFill>
          </w14:textFill>
        </w:rPr>
        <w:t>海淀区</w:t>
      </w:r>
      <w:r>
        <w:rPr>
          <w:rFonts w:hint="eastAsia" w:ascii="方正小标宋_GBK" w:hAnsi="方正小标宋_GBK" w:eastAsia="方正小标宋_GBK" w:cs="方正小标宋_GBK"/>
          <w:color w:val="000000" w:themeColor="text1"/>
          <w14:textFill>
            <w14:solidFill>
              <w14:schemeClr w14:val="tx1"/>
            </w14:solidFill>
          </w14:textFill>
        </w:rPr>
        <w:t>202</w:t>
      </w:r>
      <w:r>
        <w:rPr>
          <w:rFonts w:hint="eastAsia" w:ascii="方正小标宋_GBK" w:hAnsi="方正小标宋_GBK" w:eastAsia="方正小标宋_GBK" w:cs="方正小标宋_GBK"/>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年国民经济和社会发展</w:t>
      </w:r>
    </w:p>
    <w:p w14:paraId="33F748BD">
      <w:pPr>
        <w:pStyle w:val="31"/>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计划执行情况与</w:t>
      </w:r>
      <w:r>
        <w:rPr>
          <w:rFonts w:hint="eastAsia" w:ascii="方正小标宋_GBK" w:hAnsi="方正小标宋_GBK" w:eastAsia="方正小标宋_GBK" w:cs="方正小标宋_GBK"/>
          <w:color w:val="000000" w:themeColor="text1"/>
          <w14:textFill>
            <w14:solidFill>
              <w14:schemeClr w14:val="tx1"/>
            </w14:solidFill>
          </w14:textFill>
        </w:rPr>
        <w:t>202</w:t>
      </w:r>
      <w:r>
        <w:rPr>
          <w:rFonts w:hint="eastAsia" w:ascii="方正小标宋_GBK" w:hAnsi="方正小标宋_GBK" w:eastAsia="方正小标宋_GBK" w:cs="方正小标宋_GBK"/>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年国民经济和</w:t>
      </w:r>
    </w:p>
    <w:p w14:paraId="4DB7ACFA">
      <w:pPr>
        <w:pStyle w:val="31"/>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社会发展计划草案的报告</w:t>
      </w:r>
    </w:p>
    <w:p w14:paraId="7EB60288">
      <w:pPr>
        <w:pStyle w:val="31"/>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textAlignment w:val="auto"/>
        <w:rPr>
          <w:rFonts w:hint="eastAsia"/>
          <w:color w:val="000000" w:themeColor="text1"/>
          <w14:textFill>
            <w14:solidFill>
              <w14:schemeClr w14:val="tx1"/>
            </w14:solidFill>
          </w14:textFill>
        </w:rPr>
      </w:pPr>
    </w:p>
    <w:p w14:paraId="79A08081">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jc w:val="center"/>
        <w:textAlignment w:val="auto"/>
        <w:rPr>
          <w:rFonts w:ascii="楷体_GB2312" w:hAnsi="楷体_GB2312" w:eastAsia="楷体_GB2312" w:cs="楷体_GB2312"/>
          <w:snapToGrid w:val="0"/>
          <w:color w:val="000000" w:themeColor="text1"/>
          <w:kern w:val="0"/>
          <w:sz w:val="32"/>
          <w:szCs w:val="32"/>
          <w14:textFill>
            <w14:solidFill>
              <w14:schemeClr w14:val="tx1"/>
            </w14:solidFill>
          </w14:textFill>
        </w:rPr>
      </w:pPr>
      <w:r>
        <w:rPr>
          <w:rFonts w:hint="eastAsia" w:ascii="楷体" w:hAnsi="楷体" w:eastAsia="楷体" w:cs="楷体"/>
          <w:snapToGrid w:val="0"/>
          <w:color w:val="000000" w:themeColor="text1"/>
          <w:spacing w:val="0"/>
          <w:kern w:val="0"/>
          <w:sz w:val="32"/>
          <w:szCs w:val="32"/>
          <w14:textFill>
            <w14:solidFill>
              <w14:schemeClr w14:val="tx1"/>
            </w14:solidFill>
          </w14:textFill>
        </w:rPr>
        <w:t>——</w:t>
      </w:r>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202</w:t>
      </w:r>
      <w:r>
        <w:rPr>
          <w:rFonts w:hint="eastAsia" w:ascii="楷体_GB2312" w:hAnsi="楷体_GB2312" w:eastAsia="楷体_GB2312" w:cs="楷体_GB2312"/>
          <w:snapToGrid w:val="0"/>
          <w:color w:val="000000" w:themeColor="text1"/>
          <w:kern w:val="0"/>
          <w:sz w:val="32"/>
          <w:szCs w:val="32"/>
          <w:lang w:val="en-US" w:eastAsia="zh-CN"/>
          <w14:textFill>
            <w14:solidFill>
              <w14:schemeClr w14:val="tx1"/>
            </w14:solidFill>
          </w14:textFill>
        </w:rPr>
        <w:t>5</w:t>
      </w:r>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年1月</w:t>
      </w:r>
      <w:r>
        <w:rPr>
          <w:rFonts w:hint="eastAsia" w:ascii="楷体_GB2312" w:hAnsi="楷体_GB2312" w:eastAsia="楷体_GB2312" w:cs="楷体_GB2312"/>
          <w:snapToGrid w:val="0"/>
          <w:color w:val="000000" w:themeColor="text1"/>
          <w:kern w:val="0"/>
          <w:sz w:val="32"/>
          <w:szCs w:val="32"/>
          <w:lang w:val="en-US" w:eastAsia="zh-CN"/>
          <w14:textFill>
            <w14:solidFill>
              <w14:schemeClr w14:val="tx1"/>
            </w14:solidFill>
          </w14:textFill>
        </w:rPr>
        <w:t>7</w:t>
      </w:r>
      <w:bookmarkStart w:id="3" w:name="_GoBack"/>
      <w:bookmarkEnd w:id="3"/>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日在海淀区第十七届人民代表大会</w:t>
      </w:r>
    </w:p>
    <w:p w14:paraId="10B44B1A">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jc w:val="center"/>
        <w:textAlignment w:val="auto"/>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第</w:t>
      </w:r>
      <w:r>
        <w:rPr>
          <w:rFonts w:hint="eastAsia" w:ascii="楷体_GB2312" w:hAnsi="楷体_GB2312" w:eastAsia="楷体_GB2312" w:cs="楷体_GB2312"/>
          <w:snapToGrid w:val="0"/>
          <w:color w:val="000000" w:themeColor="text1"/>
          <w:kern w:val="0"/>
          <w:sz w:val="32"/>
          <w:szCs w:val="32"/>
          <w:lang w:val="en-US" w:eastAsia="zh-CN"/>
          <w14:textFill>
            <w14:solidFill>
              <w14:schemeClr w14:val="tx1"/>
            </w14:solidFill>
          </w14:textFill>
        </w:rPr>
        <w:t>五</w:t>
      </w:r>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次会议上</w:t>
      </w:r>
    </w:p>
    <w:p w14:paraId="3541B825">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jc w:val="center"/>
        <w:textAlignment w:val="auto"/>
        <w:rPr>
          <w:rFonts w:hint="eastAsia" w:ascii="楷体_GB2312" w:hAnsi="楷体_GB2312" w:eastAsia="楷体_GB2312" w:cs="楷体_GB2312"/>
          <w:snapToGrid w:val="0"/>
          <w:color w:val="000000" w:themeColor="text1"/>
          <w:kern w:val="0"/>
          <w:sz w:val="32"/>
          <w:szCs w:val="32"/>
          <w:lang w:val="en-US" w:eastAsia="zh-CN"/>
          <w14:textFill>
            <w14:solidFill>
              <w14:schemeClr w14:val="tx1"/>
            </w14:solidFill>
          </w14:textFill>
        </w:rPr>
      </w:pPr>
      <w:r>
        <w:rPr>
          <w:rFonts w:hint="eastAsia" w:ascii="楷体_GB2312" w:hAnsi="楷体_GB2312" w:eastAsia="楷体_GB2312" w:cs="楷体_GB2312"/>
          <w:snapToGrid w:val="0"/>
          <w:color w:val="000000" w:themeColor="text1"/>
          <w:kern w:val="0"/>
          <w:sz w:val="32"/>
          <w:szCs w:val="32"/>
          <w14:textFill>
            <w14:solidFill>
              <w14:schemeClr w14:val="tx1"/>
            </w14:solidFill>
          </w14:textFill>
        </w:rPr>
        <w:t xml:space="preserve">海淀区发展和改革委员会主任  </w:t>
      </w:r>
      <w:r>
        <w:rPr>
          <w:rFonts w:hint="eastAsia" w:ascii="楷体_GB2312" w:hAnsi="楷体_GB2312" w:eastAsia="楷体_GB2312" w:cs="楷体_GB2312"/>
          <w:snapToGrid w:val="0"/>
          <w:color w:val="000000" w:themeColor="text1"/>
          <w:kern w:val="0"/>
          <w:sz w:val="32"/>
          <w:szCs w:val="32"/>
          <w:lang w:val="en-US" w:eastAsia="zh-CN"/>
          <w14:textFill>
            <w14:solidFill>
              <w14:schemeClr w14:val="tx1"/>
            </w14:solidFill>
          </w14:textFill>
        </w:rPr>
        <w:t>赵寒</w:t>
      </w:r>
    </w:p>
    <w:p w14:paraId="2C114814">
      <w:pPr>
        <w:pStyle w:val="12"/>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textAlignment w:val="auto"/>
        <w:rPr>
          <w:rFonts w:hint="default" w:ascii="宋体" w:hAnsi="Courier New" w:eastAsia="宋体" w:cs="Times New Roman"/>
          <w:snapToGrid/>
          <w:color w:val="000000" w:themeColor="text1"/>
          <w:kern w:val="2"/>
          <w:sz w:val="21"/>
          <w:szCs w:val="20"/>
          <w:lang w:eastAsia="zh-CN"/>
          <w14:textFill>
            <w14:solidFill>
              <w14:schemeClr w14:val="tx1"/>
            </w14:solidFill>
          </w14:textFill>
        </w:rPr>
      </w:pPr>
    </w:p>
    <w:p w14:paraId="3C20BD5D">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jc w:val="both"/>
        <w:textAlignment w:val="auto"/>
        <w:rPr>
          <w:rFonts w:ascii="仿宋_GB2312" w:hAnsi="仿宋_GB2312" w:eastAsia="仿宋_GB2312"/>
          <w:color w:val="000000" w:themeColor="text1"/>
          <w:spacing w:val="0"/>
          <w:sz w:val="32"/>
          <w:szCs w:val="32"/>
          <w14:textFill>
            <w14:solidFill>
              <w14:schemeClr w14:val="tx1"/>
            </w14:solidFill>
          </w14:textFill>
        </w:rPr>
      </w:pPr>
      <w:r>
        <w:rPr>
          <w:rFonts w:hint="eastAsia" w:ascii="仿宋_GB2312" w:hAnsi="Times New Roman" w:eastAsia="仿宋_GB2312"/>
          <w:color w:val="000000" w:themeColor="text1"/>
          <w:spacing w:val="0"/>
          <w:sz w:val="32"/>
          <w:szCs w:val="32"/>
          <w:lang w:val="en-US" w:eastAsia="zh-CN"/>
          <w14:textFill>
            <w14:solidFill>
              <w14:schemeClr w14:val="tx1"/>
            </w14:solidFill>
          </w14:textFill>
        </w:rPr>
        <w:t>各位代表</w:t>
      </w:r>
      <w:r>
        <w:rPr>
          <w:rFonts w:hint="eastAsia" w:ascii="仿宋_GB2312" w:hAnsi="Times New Roman" w:eastAsia="仿宋_GB2312"/>
          <w:color w:val="000000" w:themeColor="text1"/>
          <w:spacing w:val="0"/>
          <w:sz w:val="32"/>
          <w:szCs w:val="32"/>
          <w14:textFill>
            <w14:solidFill>
              <w14:schemeClr w14:val="tx1"/>
            </w14:solidFill>
          </w14:textFill>
        </w:rPr>
        <w:t>：</w:t>
      </w:r>
    </w:p>
    <w:p w14:paraId="1FA8DA09">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Times New Roman" w:eastAsia="仿宋_GB2312"/>
          <w:color w:val="000000" w:themeColor="text1"/>
          <w:spacing w:val="0"/>
          <w:sz w:val="32"/>
          <w:szCs w:val="32"/>
          <w14:textFill>
            <w14:solidFill>
              <w14:schemeClr w14:val="tx1"/>
            </w14:solidFill>
          </w14:textFill>
        </w:rPr>
      </w:pPr>
      <w:r>
        <w:rPr>
          <w:rFonts w:hint="eastAsia" w:ascii="仿宋_GB2312" w:hAnsi="Times New Roman" w:eastAsia="仿宋_GB2312"/>
          <w:color w:val="000000" w:themeColor="text1"/>
          <w:spacing w:val="0"/>
          <w:sz w:val="32"/>
          <w:szCs w:val="32"/>
          <w14:textFill>
            <w14:solidFill>
              <w14:schemeClr w14:val="tx1"/>
            </w14:solidFill>
          </w14:textFill>
        </w:rPr>
        <w:t>受海淀区人民政府委托，现将海淀区</w:t>
      </w:r>
      <w:r>
        <w:rPr>
          <w:rFonts w:ascii="仿宋_GB2312" w:hAnsi="Times New Roman" w:eastAsia="仿宋_GB2312"/>
          <w:color w:val="000000" w:themeColor="text1"/>
          <w:spacing w:val="0"/>
          <w:sz w:val="32"/>
          <w:szCs w:val="32"/>
          <w14:textFill>
            <w14:solidFill>
              <w14:schemeClr w14:val="tx1"/>
            </w14:solidFill>
          </w14:textFill>
        </w:rPr>
        <w:t>202</w:t>
      </w:r>
      <w:r>
        <w:rPr>
          <w:rFonts w:hint="eastAsia" w:ascii="仿宋_GB2312" w:eastAsia="仿宋_GB2312"/>
          <w:color w:val="000000" w:themeColor="text1"/>
          <w:spacing w:val="0"/>
          <w:sz w:val="32"/>
          <w:szCs w:val="32"/>
          <w:lang w:val="en-US" w:eastAsia="zh-CN"/>
          <w14:textFill>
            <w14:solidFill>
              <w14:schemeClr w14:val="tx1"/>
            </w14:solidFill>
          </w14:textFill>
        </w:rPr>
        <w:t>4</w:t>
      </w:r>
      <w:r>
        <w:rPr>
          <w:rFonts w:hint="eastAsia" w:ascii="仿宋_GB2312" w:hAnsi="Times New Roman" w:eastAsia="仿宋_GB2312"/>
          <w:color w:val="000000" w:themeColor="text1"/>
          <w:spacing w:val="0"/>
          <w:sz w:val="32"/>
          <w:szCs w:val="32"/>
          <w14:textFill>
            <w14:solidFill>
              <w14:schemeClr w14:val="tx1"/>
            </w14:solidFill>
          </w14:textFill>
        </w:rPr>
        <w:t>年国民经济和社会发展计划执行情况与</w:t>
      </w:r>
      <w:r>
        <w:rPr>
          <w:rFonts w:ascii="仿宋_GB2312" w:hAnsi="Times New Roman" w:eastAsia="仿宋_GB2312"/>
          <w:color w:val="000000" w:themeColor="text1"/>
          <w:spacing w:val="0"/>
          <w:sz w:val="32"/>
          <w:szCs w:val="32"/>
          <w14:textFill>
            <w14:solidFill>
              <w14:schemeClr w14:val="tx1"/>
            </w14:solidFill>
          </w14:textFill>
        </w:rPr>
        <w:t>202</w:t>
      </w:r>
      <w:r>
        <w:rPr>
          <w:rFonts w:hint="eastAsia" w:ascii="仿宋_GB2312" w:eastAsia="仿宋_GB2312"/>
          <w:color w:val="000000" w:themeColor="text1"/>
          <w:spacing w:val="0"/>
          <w:sz w:val="32"/>
          <w:szCs w:val="32"/>
          <w:lang w:val="en-US" w:eastAsia="zh-CN"/>
          <w14:textFill>
            <w14:solidFill>
              <w14:schemeClr w14:val="tx1"/>
            </w14:solidFill>
          </w14:textFill>
        </w:rPr>
        <w:t>5</w:t>
      </w:r>
      <w:r>
        <w:rPr>
          <w:rFonts w:hint="eastAsia" w:ascii="仿宋_GB2312" w:hAnsi="Times New Roman" w:eastAsia="仿宋_GB2312"/>
          <w:color w:val="000000" w:themeColor="text1"/>
          <w:spacing w:val="0"/>
          <w:sz w:val="32"/>
          <w:szCs w:val="32"/>
          <w14:textFill>
            <w14:solidFill>
              <w14:schemeClr w14:val="tx1"/>
            </w14:solidFill>
          </w14:textFill>
        </w:rPr>
        <w:t>年国民经济和社会发展计划的报告提请区第十七届人大第</w:t>
      </w:r>
      <w:r>
        <w:rPr>
          <w:rFonts w:hint="eastAsia" w:ascii="仿宋_GB2312" w:eastAsia="仿宋_GB2312"/>
          <w:color w:val="000000" w:themeColor="text1"/>
          <w:spacing w:val="0"/>
          <w:sz w:val="32"/>
          <w:szCs w:val="32"/>
          <w:lang w:val="en-US" w:eastAsia="zh-CN"/>
          <w14:textFill>
            <w14:solidFill>
              <w14:schemeClr w14:val="tx1"/>
            </w14:solidFill>
          </w14:textFill>
        </w:rPr>
        <w:t>五</w:t>
      </w:r>
      <w:r>
        <w:rPr>
          <w:rFonts w:hint="eastAsia" w:ascii="仿宋_GB2312" w:hAnsi="Times New Roman" w:eastAsia="仿宋_GB2312"/>
          <w:color w:val="000000" w:themeColor="text1"/>
          <w:spacing w:val="0"/>
          <w:sz w:val="32"/>
          <w:szCs w:val="32"/>
          <w14:textFill>
            <w14:solidFill>
              <w14:schemeClr w14:val="tx1"/>
            </w14:solidFill>
          </w14:textFill>
        </w:rPr>
        <w:t>次会议审议。</w:t>
      </w:r>
    </w:p>
    <w:p w14:paraId="4806C5F5">
      <w:pPr>
        <w:keepNext w:val="0"/>
        <w:keepLines w:val="0"/>
        <w:pageBreakBefore w:val="0"/>
        <w:widowControl w:val="0"/>
        <w:kinsoku/>
        <w:wordWrap/>
        <w:overflowPunct w:val="0"/>
        <w:topLinePunct w:val="0"/>
        <w:autoSpaceDE/>
        <w:autoSpaceDN/>
        <w:bidi w:val="0"/>
        <w:adjustRightInd/>
        <w:snapToGrid/>
        <w:spacing w:line="570" w:lineRule="exact"/>
        <w:ind w:left="0" w:leftChars="0" w:right="0" w:rightChars="0" w:firstLine="640" w:firstLineChars="200"/>
        <w:jc w:val="both"/>
        <w:textAlignment w:val="auto"/>
        <w:outlineLvl w:val="0"/>
        <w:rPr>
          <w:rFonts w:ascii="黑体" w:hAnsi="黑体" w:eastAsia="黑体" w:cs="Times New Roman"/>
          <w:color w:val="000000" w:themeColor="text1"/>
          <w:spacing w:val="0"/>
          <w:w w:val="100"/>
          <w:sz w:val="32"/>
          <w:szCs w:val="32"/>
          <w:highlight w:val="none"/>
          <w:u w:val="none" w:color="auto"/>
          <w14:textFill>
            <w14:solidFill>
              <w14:schemeClr w14:val="tx1"/>
            </w14:solidFill>
          </w14:textFill>
        </w:rPr>
      </w:pPr>
      <w:r>
        <w:rPr>
          <w:rFonts w:hint="eastAsia" w:ascii="黑体" w:hAnsi="黑体" w:eastAsia="黑体" w:cs="仿宋"/>
          <w:bCs/>
          <w:color w:val="000000" w:themeColor="text1"/>
          <w:spacing w:val="0"/>
          <w:w w:val="100"/>
          <w:sz w:val="32"/>
          <w:szCs w:val="32"/>
          <w:highlight w:val="none"/>
          <w:u w:val="none" w:color="auto"/>
          <w14:textFill>
            <w14:solidFill>
              <w14:schemeClr w14:val="tx1"/>
            </w14:solidFill>
          </w14:textFill>
        </w:rPr>
        <w:t>一、</w:t>
      </w:r>
      <w:r>
        <w:rPr>
          <w:rFonts w:hint="eastAsia" w:ascii="黑体" w:hAnsi="黑体" w:eastAsia="黑体" w:cs="仿宋"/>
          <w:bCs/>
          <w:color w:val="000000" w:themeColor="text1"/>
          <w:spacing w:val="0"/>
          <w:w w:val="100"/>
          <w:sz w:val="32"/>
          <w:szCs w:val="32"/>
          <w:highlight w:val="none"/>
          <w:u w:val="none" w:color="auto"/>
          <w:lang w:val="en-US" w:eastAsia="zh-CN"/>
          <w14:textFill>
            <w14:solidFill>
              <w14:schemeClr w14:val="tx1"/>
            </w14:solidFill>
          </w14:textFill>
        </w:rPr>
        <w:t>2024</w:t>
      </w:r>
      <w:r>
        <w:rPr>
          <w:rFonts w:hint="eastAsia" w:ascii="黑体" w:hAnsi="黑体" w:eastAsia="黑体" w:cs="仿宋"/>
          <w:bCs/>
          <w:color w:val="000000" w:themeColor="text1"/>
          <w:spacing w:val="0"/>
          <w:w w:val="100"/>
          <w:sz w:val="32"/>
          <w:szCs w:val="32"/>
          <w:highlight w:val="none"/>
          <w:u w:val="none" w:color="auto"/>
          <w14:textFill>
            <w14:solidFill>
              <w14:schemeClr w14:val="tx1"/>
            </w14:solidFill>
          </w14:textFill>
        </w:rPr>
        <w:t>年国民经济和社会发展情况</w:t>
      </w:r>
    </w:p>
    <w:p w14:paraId="52E21F46">
      <w:pPr>
        <w:keepNext w:val="0"/>
        <w:keepLines w:val="0"/>
        <w:pageBreakBefore w:val="0"/>
        <w:widowControl w:val="0"/>
        <w:tabs>
          <w:tab w:val="left" w:pos="4620"/>
        </w:tabs>
        <w:kinsoku/>
        <w:wordWrap/>
        <w:overflowPunct w:val="0"/>
        <w:topLinePunct w:val="0"/>
        <w:autoSpaceDE/>
        <w:autoSpaceDN/>
        <w:bidi w:val="0"/>
        <w:adjustRightInd/>
        <w:snapToGrid/>
        <w:spacing w:line="570" w:lineRule="exact"/>
        <w:ind w:left="0" w:leftChars="0" w:right="0" w:rightChars="0" w:firstLine="640" w:firstLineChars="200"/>
        <w:jc w:val="both"/>
        <w:textAlignment w:val="auto"/>
        <w:rPr>
          <w:rFonts w:ascii="仿宋_GB2312" w:hAnsi="仿宋" w:eastAsia="仿宋_GB2312" w:cs="Times New Roman"/>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今年以来，</w:t>
      </w:r>
      <w:r>
        <w:rPr>
          <w:rFonts w:ascii="仿宋_GB2312" w:hAnsi="仿宋" w:eastAsia="仿宋_GB2312" w:cs="仿宋"/>
          <w:color w:val="000000" w:themeColor="text1"/>
          <w:spacing w:val="0"/>
          <w:w w:val="100"/>
          <w:sz w:val="32"/>
          <w:szCs w:val="32"/>
          <w:highlight w:val="none"/>
          <w:u w:val="none" w:color="auto"/>
          <w14:textFill>
            <w14:solidFill>
              <w14:schemeClr w14:val="tx1"/>
            </w14:solidFill>
          </w14:textFill>
        </w:rPr>
        <w:t>在</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市委</w:t>
      </w:r>
      <w:r>
        <w:rPr>
          <w:rFonts w:hint="eastAsia" w:ascii="仿宋_GB2312" w:hAnsi="仿宋" w:eastAsia="仿宋_GB2312" w:cs="仿宋"/>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市政府和</w:t>
      </w:r>
      <w:r>
        <w:rPr>
          <w:rFonts w:ascii="仿宋_GB2312" w:hAnsi="仿宋" w:eastAsia="仿宋_GB2312" w:cs="仿宋"/>
          <w:color w:val="000000" w:themeColor="text1"/>
          <w:spacing w:val="0"/>
          <w:w w:val="100"/>
          <w:sz w:val="32"/>
          <w:szCs w:val="32"/>
          <w:highlight w:val="none"/>
          <w:u w:val="none" w:color="auto"/>
          <w14:textFill>
            <w14:solidFill>
              <w14:schemeClr w14:val="tx1"/>
            </w14:solidFill>
          </w14:textFill>
        </w:rPr>
        <w:t>区委坚强领导下，在区人大</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及其常委会</w:t>
      </w:r>
      <w:r>
        <w:rPr>
          <w:rFonts w:ascii="仿宋_GB2312" w:hAnsi="仿宋" w:eastAsia="仿宋_GB2312" w:cs="仿宋"/>
          <w:color w:val="000000" w:themeColor="text1"/>
          <w:spacing w:val="0"/>
          <w:w w:val="100"/>
          <w:sz w:val="32"/>
          <w:szCs w:val="32"/>
          <w:highlight w:val="none"/>
          <w:u w:val="none" w:color="auto"/>
          <w14:textFill>
            <w14:solidFill>
              <w14:schemeClr w14:val="tx1"/>
            </w14:solidFill>
          </w14:textFill>
        </w:rPr>
        <w:t>监督支持下，全区</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坚持以习近平新时代中国特色社会主义思想为指导，围绕贯彻落实党的二十大、</w:t>
      </w:r>
      <w:r>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t>二十届二中、三中全会</w:t>
      </w:r>
      <w:r>
        <w:rPr>
          <w:rFonts w:hint="eastAsia" w:ascii="仿宋_GB2312" w:hAnsi="仿宋_GB2312" w:eastAsia="仿宋_GB2312" w:cs="仿宋_GB2312"/>
          <w:b w:val="0"/>
          <w:bCs w:val="0"/>
          <w:color w:val="000000" w:themeColor="text1"/>
          <w:spacing w:val="0"/>
          <w:sz w:val="32"/>
          <w:szCs w:val="32"/>
          <w:lang w:val="en-US" w:eastAsia="zh-CN"/>
          <w14:textFill>
            <w14:solidFill>
              <w14:schemeClr w14:val="tx1"/>
            </w14:solidFill>
          </w14:textFill>
        </w:rPr>
        <w:t>和</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中央经济工作会议精神，</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坚持稳中求进工作总基调，</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以经济社会高质量发展大会开局，以打造人工智能产业高地开道，推进现代化产业体系建设，充分发挥教育科技人才资源优势，以科技创新支撑高质量发展、保障高水平安全，培育发展新质生产力，建设世界领先科技园区。</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经济运行</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总体</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平稳，经济社会发展主要目标任务顺利完成</w:t>
      </w:r>
      <w:r>
        <w:rPr>
          <w:rFonts w:hint="eastAsia" w:ascii="仿宋_GB2312" w:hAnsi="仿宋" w:eastAsia="仿宋_GB2312" w:cs="仿宋"/>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全</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年</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地区生产总值同比增长</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6.0</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，总量和贡献量持续保持全市第一</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；区级一般公共预算收入同比增长</w:t>
      </w:r>
      <w:r>
        <w:rPr>
          <w:rFonts w:hint="eastAsia" w:ascii="仿宋_GB2312" w:hAnsi="仿宋" w:eastAsia="仿宋_GB2312" w:cs="仿宋"/>
          <w:color w:val="000000" w:themeColor="text1"/>
          <w:spacing w:val="0"/>
          <w:w w:val="100"/>
          <w:sz w:val="32"/>
          <w:szCs w:val="32"/>
          <w:highlight w:val="none"/>
          <w:u w:val="none" w:color="auto"/>
          <w:lang w:val="en-US" w:eastAsia="zh-CN"/>
          <w14:textFill>
            <w14:solidFill>
              <w14:schemeClr w14:val="tx1"/>
            </w14:solidFill>
          </w14:textFill>
        </w:rPr>
        <w:t>6.0</w:t>
      </w:r>
      <w:r>
        <w:rPr>
          <w:rFonts w:hint="eastAsia" w:ascii="仿宋_GB2312" w:hAnsi="仿宋" w:eastAsia="仿宋_GB2312" w:cs="仿宋"/>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；居民人均</w:t>
      </w:r>
      <w:r>
        <w:rPr>
          <w:rFonts w:hint="eastAsia" w:ascii="仿宋_GB2312" w:hAnsi="仿宋" w:eastAsia="仿宋_GB2312" w:cs="Times New Roman"/>
          <w:color w:val="000000" w:themeColor="text1"/>
          <w:spacing w:val="0"/>
          <w:w w:val="100"/>
          <w:sz w:val="32"/>
          <w:szCs w:val="32"/>
          <w:highlight w:val="none"/>
          <w:u w:val="none" w:color="auto"/>
          <w14:textFill>
            <w14:solidFill>
              <w14:schemeClr w14:val="tx1"/>
            </w14:solidFill>
          </w14:textFill>
        </w:rPr>
        <w:t>可支配收入</w:t>
      </w:r>
      <w:r>
        <w:rPr>
          <w:rFonts w:hint="eastAsia" w:ascii="仿宋_GB2312" w:hAnsi="仿宋"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增长4.1%；城镇登记失业率控制在3.1%以内</w:t>
      </w:r>
      <w:r>
        <w:rPr>
          <w:rFonts w:hint="eastAsia" w:ascii="仿宋_GB2312" w:hAnsi="仿宋" w:eastAsia="仿宋_GB2312" w:cs="Times New Roman"/>
          <w:color w:val="000000" w:themeColor="text1"/>
          <w:spacing w:val="0"/>
          <w:w w:val="100"/>
          <w:sz w:val="32"/>
          <w:szCs w:val="32"/>
          <w:highlight w:val="none"/>
          <w:u w:val="none" w:color="auto"/>
          <w14:textFill>
            <w14:solidFill>
              <w14:schemeClr w14:val="tx1"/>
            </w14:solidFill>
          </w14:textFill>
        </w:rPr>
        <w:t>。</w:t>
      </w:r>
    </w:p>
    <w:p w14:paraId="325884C1">
      <w:pPr>
        <w:keepNext w:val="0"/>
        <w:keepLines w:val="0"/>
        <w:pageBreakBefore w:val="0"/>
        <w:widowControl w:val="0"/>
        <w:tabs>
          <w:tab w:val="left" w:pos="4620"/>
        </w:tabs>
        <w:kinsoku/>
        <w:wordWrap/>
        <w:overflowPunct w:val="0"/>
        <w:topLinePunct w:val="0"/>
        <w:autoSpaceDE/>
        <w:autoSpaceDN/>
        <w:bidi w:val="0"/>
        <w:adjustRightInd/>
        <w:snapToGrid/>
        <w:spacing w:line="590" w:lineRule="exact"/>
        <w:ind w:left="0" w:leftChars="0" w:firstLine="640" w:firstLineChars="200"/>
        <w:jc w:val="both"/>
        <w:textAlignment w:val="auto"/>
        <w:rPr>
          <w:rFonts w:ascii="仿宋_GB2312" w:hAnsi="仿宋" w:eastAsia="仿宋_GB2312" w:cs="Times New Roman"/>
          <w:color w:val="000000" w:themeColor="text1"/>
          <w:spacing w:val="0"/>
          <w:w w:val="100"/>
          <w:sz w:val="32"/>
          <w:szCs w:val="32"/>
          <w:highlight w:val="none"/>
          <w:u w:val="none" w:color="auto"/>
          <w14:textFill>
            <w14:solidFill>
              <w14:schemeClr w14:val="tx1"/>
            </w14:solidFill>
          </w14:textFill>
        </w:rPr>
      </w:pPr>
      <w:r>
        <w:rPr>
          <w:rFonts w:hint="eastAsia" w:ascii="仿宋_GB2312" w:hAnsi="仿宋"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今年</w:t>
      </w:r>
      <w:r>
        <w:rPr>
          <w:rFonts w:hint="eastAsia" w:ascii="仿宋_GB2312" w:hAnsi="仿宋" w:eastAsia="仿宋_GB2312" w:cs="Times New Roman"/>
          <w:color w:val="000000" w:themeColor="text1"/>
          <w:spacing w:val="0"/>
          <w:w w:val="100"/>
          <w:sz w:val="32"/>
          <w:szCs w:val="32"/>
          <w:highlight w:val="none"/>
          <w:u w:val="none" w:color="auto"/>
          <w14:textFill>
            <w14:solidFill>
              <w14:schemeClr w14:val="tx1"/>
            </w14:solidFill>
          </w14:textFill>
        </w:rPr>
        <w:t>来，重点做了以下五个方面工作：</w:t>
      </w:r>
    </w:p>
    <w:p w14:paraId="71CD8197">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outlineLvl w:val="1"/>
        <w:rPr>
          <w:rFonts w:hint="default" w:ascii="楷体_GB2312" w:hAnsi="仿宋_GB2312" w:eastAsia="楷体_GB2312" w:cs="Times New Roman"/>
          <w:b w:val="0"/>
          <w:bCs/>
          <w:color w:val="000000" w:themeColor="text1"/>
          <w:spacing w:val="0"/>
          <w:w w:val="100"/>
          <w:sz w:val="32"/>
          <w:szCs w:val="32"/>
          <w:highlight w:val="none"/>
          <w:u w:val="none" w:color="auto"/>
          <w:lang w:val="en-US" w:eastAsia="zh-CN"/>
          <w14:textFill>
            <w14:solidFill>
              <w14:schemeClr w14:val="tx1"/>
            </w14:solidFill>
          </w14:textFill>
        </w:rPr>
      </w:pPr>
      <w:r>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t>（一）</w:t>
      </w:r>
      <w:r>
        <w:rPr>
          <w:rFonts w:hint="eastAsia" w:ascii="楷体_GB2312" w:hAnsi="仿宋_GB2312" w:eastAsia="楷体_GB2312" w:cs="Times New Roman"/>
          <w:b w:val="0"/>
          <w:bCs/>
          <w:color w:val="000000" w:themeColor="text1"/>
          <w:spacing w:val="0"/>
          <w:w w:val="100"/>
          <w:sz w:val="32"/>
          <w:szCs w:val="32"/>
          <w:highlight w:val="none"/>
          <w:u w:val="none" w:color="auto"/>
          <w:lang w:val="en-US" w:eastAsia="zh-CN"/>
          <w14:textFill>
            <w14:solidFill>
              <w14:schemeClr w14:val="tx1"/>
            </w14:solidFill>
          </w14:textFill>
        </w:rPr>
        <w:t>坚持以发展新质生产力为引领，实现经济高质量发展</w:t>
      </w:r>
    </w:p>
    <w:p w14:paraId="18306356">
      <w:pPr>
        <w:keepNext w:val="0"/>
        <w:keepLines w:val="0"/>
        <w:pageBreakBefore w:val="0"/>
        <w:widowControl w:val="0"/>
        <w:tabs>
          <w:tab w:val="left" w:pos="623"/>
        </w:tabs>
        <w:kinsoku/>
        <w:wordWrap/>
        <w:overflowPunct w:val="0"/>
        <w:topLinePunct w:val="0"/>
        <w:autoSpaceDE/>
        <w:autoSpaceDN/>
        <w:bidi w:val="0"/>
        <w:adjustRightInd/>
        <w:snapToGrid/>
        <w:spacing w:line="590" w:lineRule="exact"/>
        <w:ind w:firstLine="643" w:firstLineChars="200"/>
        <w:jc w:val="both"/>
        <w:textAlignment w:val="auto"/>
        <w:rPr>
          <w:rFonts w:hint="default" w:ascii="仿宋_GB2312" w:hAnsi="仿宋_GB2312" w:eastAsia="仿宋_GB2312" w:cs="Times New Roman"/>
          <w:b/>
          <w:bCs/>
          <w:color w:val="000000" w:themeColor="text1"/>
          <w:spacing w:val="0"/>
          <w:w w:val="100"/>
          <w:sz w:val="32"/>
          <w:szCs w:val="32"/>
          <w:highlight w:val="none"/>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人工智能发展高地建设有序推进。</w:t>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落实市委市政府“举全市之力以海淀为核心打造人工智能产业策源地和产业高地”的战略部署。规划全球首个人工智能创新街区，在南部53平方公里“三横两纵一带”人工智能资源高度密集区，用大模型思维打造超级城市智能体。在五道口先导区启动“海淀AI原点社区”</w:t>
      </w:r>
      <w:r>
        <w:rPr>
          <w:rFonts w:hint="eastAsia" w:ascii="仿宋_GB2312" w:hAnsi="仿宋_GB2312" w:eastAsia="仿宋_GB2312" w:cs="仿宋_GB2312"/>
          <w:b w:val="0"/>
          <w:bCs w:val="0"/>
          <w:color w:val="000000" w:themeColor="text1"/>
          <w:spacing w:val="-4"/>
          <w:w w:val="100"/>
          <w:kern w:val="2"/>
          <w:sz w:val="32"/>
          <w:szCs w:val="32"/>
          <w:highlight w:val="none"/>
          <w:u w:val="none" w:color="auto"/>
          <w:vertAlign w:val="superscript"/>
          <w:lang w:val="en-US" w:eastAsia="zh-CN" w:bidi="ar-SA"/>
          <w14:textFill>
            <w14:solidFill>
              <w14:schemeClr w14:val="tx1"/>
            </w14:solidFill>
          </w14:textFill>
        </w:rPr>
        <w:footnoteReference w:id="0"/>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建设，形成涵盖上下游的人工智能全产业链，打造城市智能体样板间。“北京海淀人工智能集群”入选“2024年国家先进制造业集群”，成为入选该项竞赛的全国首个人工智能产业集群。</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依托中关村、知春路、学院路等周边地区在全国率先建设人工智能大模型产业集聚区，首批打造五道口、北大西门、中关村西区、清华科技园等4个特色产业园，集聚人工智能企业、科研单位超过100家。</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启用E级智能算力中心，北京数据基础制度先行区扩展至海淀，</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成立海淀区数据要素生态产业联盟</w:t>
      </w:r>
      <w:r>
        <w:rPr>
          <w:rFonts w:hint="eastAsia" w:ascii="仿宋_GB2312" w:hAnsi="Calibri" w:eastAsia="仿宋_GB2312" w:cs="Times New Roman"/>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建设北京人工智能模型语料中心</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和</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数据运营平台</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，汇聚高质量数据集</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达</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PB级</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落实“人工智能+”行动计划，加速场景应用示范，</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推动接诉即办、政务服务、教育、文旅4个领域的国产大模型项目上线并试用验证。</w:t>
      </w:r>
    </w:p>
    <w:p w14:paraId="6E44EFB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pPr>
      <w:r>
        <w:rPr>
          <w:rFonts w:hint="eastAsia" w:ascii="仿宋_GB2312" w:hAnsi="仿宋_GB2312" w:eastAsia="仿宋_GB2312" w:cs="Times New Roman"/>
          <w:b/>
          <w:bCs/>
          <w:color w:val="000000" w:themeColor="text1"/>
          <w:spacing w:val="0"/>
          <w:w w:val="100"/>
          <w:sz w:val="32"/>
          <w:szCs w:val="32"/>
          <w:highlight w:val="none"/>
          <w:u w:val="none" w:color="auto"/>
          <w:lang w:val="en-US" w:eastAsia="zh-CN"/>
          <w14:textFill>
            <w14:solidFill>
              <w14:schemeClr w14:val="tx1"/>
            </w14:solidFill>
          </w14:textFill>
        </w:rPr>
        <w:t>战略性新兴产业集群化发展水平提升。</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在医药健康领域，推动清华医学园区、国家医保局大数据中心、华大研究院选址落地，北京协和医学院北区投入使用，中关村国际医谷开工建设。成立基因细胞药物产业孵化中心、农业合成生物创新中心，梳理58家第三方服务平台；举办10场医企应用场景对接会，支持11款产品在各级医疗机构开展示范应用。在</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集成电路</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领域，</w:t>
      </w:r>
      <w:r>
        <w:rPr>
          <w:rFonts w:hint="eastAsia" w:ascii="仿宋_GB2312" w:hAnsi="Calibri" w:eastAsia="仿宋_GB2312" w:cs="Times New Roman"/>
          <w:color w:val="000000" w:themeColor="text1"/>
          <w:spacing w:val="0"/>
          <w:sz w:val="32"/>
          <w:szCs w:val="32"/>
          <w:highlight w:val="none"/>
          <w:u w:val="none" w:color="auto"/>
          <w:lang w:val="en-US" w:eastAsia="zh"/>
          <w14:textFill>
            <w14:solidFill>
              <w14:schemeClr w14:val="tx1"/>
            </w14:solidFill>
          </w14:textFill>
        </w:rPr>
        <w:t>推进集成电路设计园二期项目正式运营</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，支持北京开源芯片研究院研发RISC-V高性能处理器核，并建设RISC-V芯片敏捷设计开发平台，</w:t>
      </w:r>
      <w:r>
        <w:rPr>
          <w:rFonts w:hint="eastAsia" w:ascii="仿宋_GB2312" w:hAnsi="Calibri" w:eastAsia="仿宋_GB2312" w:cs="Times New Roman"/>
          <w:color w:val="000000" w:themeColor="text1"/>
          <w:spacing w:val="0"/>
          <w:sz w:val="32"/>
          <w:szCs w:val="32"/>
          <w:highlight w:val="none"/>
          <w:u w:val="none" w:color="auto"/>
          <w:lang w:val="en-US" w:eastAsia="zh"/>
          <w14:textFill>
            <w14:solidFill>
              <w14:schemeClr w14:val="tx1"/>
            </w14:solidFill>
          </w14:textFill>
        </w:rPr>
        <w:t>高性能芯片测试验证平台</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对外</w:t>
      </w:r>
      <w:r>
        <w:rPr>
          <w:rFonts w:hint="eastAsia" w:ascii="仿宋_GB2312" w:hAnsi="Calibri" w:eastAsia="仿宋_GB2312" w:cs="Times New Roman"/>
          <w:color w:val="000000" w:themeColor="text1"/>
          <w:spacing w:val="0"/>
          <w:sz w:val="32"/>
          <w:szCs w:val="32"/>
          <w:highlight w:val="none"/>
          <w:u w:val="none" w:color="auto"/>
          <w:lang w:val="en-US" w:eastAsia="zh"/>
          <w14:textFill>
            <w14:solidFill>
              <w14:schemeClr w14:val="tx1"/>
            </w14:solidFill>
          </w14:textFill>
        </w:rPr>
        <w:t>提供服务。</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在</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商业航天</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领域，</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出台商业航天五年行动计划，成立星辰未来空间技术研究院，推动中科星图维天信牵头组建商业航天创新中心，全面提升商业航天全球竞争力</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w:t>
      </w:r>
    </w:p>
    <w:p w14:paraId="6A71A1D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color w:val="000000" w:themeColor="text1"/>
          <w:sz w:val="28"/>
          <w:szCs w:val="28"/>
          <w:lang w:val="en-US" w:eastAsia="zh-CN"/>
          <w14:textFill>
            <w14:solidFill>
              <w14:schemeClr w14:val="tx1"/>
            </w14:solidFill>
          </w14:textFill>
        </w:rPr>
      </w:pPr>
      <w:r>
        <w:rPr>
          <w:rFonts w:hint="eastAsia" w:ascii="仿宋_GB2312" w:hAnsi="仿宋_GB2312" w:eastAsia="仿宋_GB2312" w:cs="Times New Roman"/>
          <w:b/>
          <w:bCs/>
          <w:color w:val="000000" w:themeColor="text1"/>
          <w:spacing w:val="0"/>
          <w:w w:val="100"/>
          <w:sz w:val="32"/>
          <w:szCs w:val="32"/>
          <w:highlight w:val="none"/>
          <w:u w:val="none" w:color="auto"/>
          <w:lang w:val="en-US" w:eastAsia="zh-CN"/>
          <w14:textFill>
            <w14:solidFill>
              <w14:schemeClr w14:val="tx1"/>
            </w14:solidFill>
          </w14:textFill>
        </w:rPr>
        <w:t>抢占未来产业新领域新赛道。</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在具身智能领域，出台全国首个具身智能三年行动方案，启动建设具有全球影响力的具身智能研究院，布局机器人概念验证与中试测试平台，发布具身智能创新平台，举办首届中关村仿生机器人大赛，海淀区机器人产业获评国家级中小企业特色产业集群，初步建成全国具身智能创新高地。在</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智能网联汽车</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领域，</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高级别自动驾驶示范区4.0</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扩区至</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海淀</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在量子信息领域，出台全市首个区级量子信息领域行动计划，</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推动北京量子信息产业发展基金落地海淀，规模约</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2亿元</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；建设全国首家量子科技孵化器和全市首家量子科技产业园。在6G领域，发布国际首个通信与智能融合的6G外场试验网；支持中关村泛联院建成6G端到端开放试验平台，推动成立6G通感算智融合创新平台。</w:t>
      </w:r>
    </w:p>
    <w:p w14:paraId="3BC9D317">
      <w:pPr>
        <w:pStyle w:val="32"/>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专栏1：“1+X+1”现代化产业体系发展成果</w:t>
      </w:r>
    </w:p>
    <w:tbl>
      <w:tblPr>
        <w:tblStyle w:val="26"/>
        <w:tblW w:w="884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507"/>
        <w:gridCol w:w="1204"/>
        <w:gridCol w:w="7133"/>
      </w:tblGrid>
      <w:tr w14:paraId="7390D2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2026" w:hRule="atLeast"/>
          <w:jc w:val="center"/>
        </w:trPr>
        <w:tc>
          <w:tcPr>
            <w:tcW w:w="513" w:type="dxa"/>
            <w:tcBorders>
              <w:tl2br w:val="nil"/>
              <w:tr2bl w:val="nil"/>
            </w:tcBorders>
            <w:noWrap w:val="0"/>
            <w:vAlign w:val="center"/>
          </w:tcPr>
          <w:p w14:paraId="5A90DB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1</w:t>
            </w:r>
          </w:p>
        </w:tc>
        <w:tc>
          <w:tcPr>
            <w:tcW w:w="1231" w:type="dxa"/>
            <w:tcBorders>
              <w:tl2br w:val="nil"/>
              <w:tr2bl w:val="nil"/>
            </w:tcBorders>
            <w:noWrap w:val="0"/>
            <w:vAlign w:val="center"/>
          </w:tcPr>
          <w:p w14:paraId="6D9393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人工智能</w:t>
            </w:r>
          </w:p>
        </w:tc>
        <w:tc>
          <w:tcPr>
            <w:tcW w:w="7315" w:type="dxa"/>
            <w:tcBorders>
              <w:tl2br w:val="nil"/>
              <w:tr2bl w:val="nil"/>
            </w:tcBorders>
            <w:noWrap w:val="0"/>
            <w:tcMar>
              <w:top w:w="118" w:type="dxa"/>
              <w:bottom w:w="118" w:type="dxa"/>
            </w:tcMar>
            <w:vAlign w:val="center"/>
          </w:tcPr>
          <w:p w14:paraId="652FA9D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启动全球首个人工智能创新街区建设。依托中关村、知春路、学院路等在全国率先建设产业集聚区，首批打造4个特色产业园。</w:t>
            </w:r>
          </w:p>
          <w:p w14:paraId="5906DD5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“北京海淀人工智能集群”入选“2024年国家先进制造业集群”，成为入选该项竞赛的全国首个人工智能产业集群。</w:t>
            </w:r>
          </w:p>
          <w:p w14:paraId="6AD1B82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北京数据基础制度先行区扩展至海淀，建设北京人工智能模型语料中心和数据运营平台，成立海淀区数据要素生态产业联盟。</w:t>
            </w:r>
          </w:p>
          <w:p w14:paraId="3FD4999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推动接诉即办、政务服务、教育、文旅4个领域的国产大模型项目上线并试用验证；启用E级智能算力中心。</w:t>
            </w:r>
          </w:p>
        </w:tc>
      </w:tr>
      <w:tr w14:paraId="17208C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restart"/>
            <w:tcBorders>
              <w:tl2br w:val="nil"/>
              <w:tr2bl w:val="nil"/>
            </w:tcBorders>
            <w:noWrap w:val="0"/>
            <w:vAlign w:val="center"/>
          </w:tcPr>
          <w:p w14:paraId="68E5E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X</w:t>
            </w:r>
          </w:p>
        </w:tc>
        <w:tc>
          <w:tcPr>
            <w:tcW w:w="1231" w:type="dxa"/>
            <w:tcBorders>
              <w:tl2br w:val="nil"/>
              <w:tr2bl w:val="nil"/>
            </w:tcBorders>
            <w:noWrap w:val="0"/>
            <w:vAlign w:val="center"/>
          </w:tcPr>
          <w:p w14:paraId="41F309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医药健康</w:t>
            </w:r>
          </w:p>
        </w:tc>
        <w:tc>
          <w:tcPr>
            <w:tcW w:w="7315" w:type="dxa"/>
            <w:tcBorders>
              <w:tl2br w:val="nil"/>
              <w:tr2bl w:val="nil"/>
            </w:tcBorders>
            <w:noWrap w:val="0"/>
            <w:tcMar>
              <w:top w:w="118" w:type="dxa"/>
              <w:bottom w:w="118" w:type="dxa"/>
            </w:tcMar>
            <w:vAlign w:val="center"/>
          </w:tcPr>
          <w:p w14:paraId="59E3151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发布《海淀区医药健康三年行动计划（2024—2026）》《海淀区促进医药健康产业高质量发展的若干措施》，建立三医联动机制。</w:t>
            </w:r>
          </w:p>
          <w:p w14:paraId="48D1A3E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与清华大学在温泉镇白家疃打造500亩的医学园区。北京协和医学院北区投入使用，金隅生命科学中心、上庄国际医谷项目开工建设。</w:t>
            </w:r>
          </w:p>
        </w:tc>
      </w:tr>
      <w:tr w14:paraId="37D609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174014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3BB22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集成电路</w:t>
            </w:r>
          </w:p>
        </w:tc>
        <w:tc>
          <w:tcPr>
            <w:tcW w:w="7315" w:type="dxa"/>
            <w:tcBorders>
              <w:tl2br w:val="nil"/>
              <w:tr2bl w:val="nil"/>
            </w:tcBorders>
            <w:noWrap w:val="0"/>
            <w:tcMar>
              <w:top w:w="118" w:type="dxa"/>
              <w:bottom w:w="118" w:type="dxa"/>
            </w:tcMar>
            <w:vAlign w:val="center"/>
          </w:tcPr>
          <w:p w14:paraId="357CA8F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发布《中关村科学城集成电路创芯引领三年行动计划（2024-2026）》</w:t>
            </w:r>
          </w:p>
          <w:p w14:paraId="113C68E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 w:bidi="ar-SA"/>
                <w14:textFill>
                  <w14:solidFill>
                    <w14:schemeClr w14:val="tx1"/>
                  </w14:solidFill>
                </w14:textFill>
              </w:rPr>
              <w:t>推进集成电路设计园二期项目正式挂牌并启动运营</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w:t>
            </w:r>
          </w:p>
          <w:p w14:paraId="6D720A4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支持开芯院</w:t>
            </w:r>
            <w:r>
              <w:rPr>
                <w:rFonts w:hint="eastAsia" w:ascii="宋体" w:hAnsi="宋体" w:eastAsia="宋体" w:cs="宋体"/>
                <w:color w:val="000000" w:themeColor="text1"/>
                <w:kern w:val="0"/>
                <w:sz w:val="24"/>
                <w:szCs w:val="24"/>
                <w:lang w:val="en-US" w:eastAsia="zh-CN" w:bidi="ar-SA"/>
                <w14:textFill>
                  <w14:solidFill>
                    <w14:schemeClr w14:val="tx1"/>
                  </w14:solidFill>
                </w14:textFill>
              </w:rPr>
              <w:t>研发RISC-V高性能处理器核，并</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建设RISC-V芯片敏捷设计开发平台。</w:t>
            </w:r>
          </w:p>
          <w:p w14:paraId="4CD3404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 w:bidi="ar-SA"/>
                <w14:textFill>
                  <w14:solidFill>
                    <w14:schemeClr w14:val="tx1"/>
                  </w14:solidFill>
                </w14:textFill>
              </w:rPr>
              <w:t>支持中发芯测建设高性能芯片测试验证平台，提供晶圆、成品检测，为设计企业提供便捷化测试服务。</w:t>
            </w:r>
          </w:p>
        </w:tc>
      </w:tr>
      <w:tr w14:paraId="44758D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75FA65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2B9959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商业航天</w:t>
            </w:r>
          </w:p>
        </w:tc>
        <w:tc>
          <w:tcPr>
            <w:tcW w:w="7315" w:type="dxa"/>
            <w:tcBorders>
              <w:tl2br w:val="nil"/>
              <w:tr2bl w:val="nil"/>
            </w:tcBorders>
            <w:noWrap w:val="0"/>
            <w:tcMar>
              <w:top w:w="118" w:type="dxa"/>
              <w:bottom w:w="118" w:type="dxa"/>
            </w:tcMar>
            <w:vAlign w:val="center"/>
          </w:tcPr>
          <w:p w14:paraId="006BF8CE">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发布《海淀区建设商业航天创新高地行动计划（2024—2028年）》。</w:t>
            </w:r>
          </w:p>
          <w:p w14:paraId="0F6997DA">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成立星辰未来空间技术研究院，推动中科星图维天信牵头组建商业航天创新中心。</w:t>
            </w:r>
          </w:p>
        </w:tc>
      </w:tr>
      <w:tr w14:paraId="7ADC716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038D03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42D38E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具身智能</w:t>
            </w:r>
          </w:p>
        </w:tc>
        <w:tc>
          <w:tcPr>
            <w:tcW w:w="7315" w:type="dxa"/>
            <w:tcBorders>
              <w:tl2br w:val="nil"/>
              <w:tr2bl w:val="nil"/>
            </w:tcBorders>
            <w:noWrap w:val="0"/>
            <w:vAlign w:val="center"/>
          </w:tcPr>
          <w:p w14:paraId="37167B87">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highlight w:val="none"/>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vertAlign w:val="baseline"/>
                <w:lang w:val="en-US" w:eastAsia="zh-CN" w:bidi="ar-SA"/>
                <w14:textFill>
                  <w14:solidFill>
                    <w14:schemeClr w14:val="tx1"/>
                  </w14:solidFill>
                </w14:textFill>
              </w:rPr>
              <w:t>发布《关于打造全国具身智能创新高地的三年行动方案（2024—2026年）》，海淀区机器人产业获评国家级中小企业特色产业集群。</w:t>
            </w:r>
          </w:p>
          <w:p w14:paraId="10A19BB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u w:val="none" w:color="auto"/>
                <w:vertAlign w:val="baseline"/>
                <w:lang w:val="en-US" w:eastAsia="zh-CN" w:bidi="ar-SA"/>
                <w14:textFill>
                  <w14:solidFill>
                    <w14:schemeClr w14:val="tx1"/>
                  </w14:solidFill>
                </w14:textFill>
              </w:rPr>
              <w:t>启动建设具有全球影响力的具身智能研究院，布局机器人概念验证与中试测试平台，发布具身智能创新平台， 举办首届中关村仿生机器人大赛。</w:t>
            </w:r>
          </w:p>
        </w:tc>
      </w:tr>
      <w:tr w14:paraId="2FAB4B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4E170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221910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智能网联汽车</w:t>
            </w:r>
          </w:p>
        </w:tc>
        <w:tc>
          <w:tcPr>
            <w:tcW w:w="7315" w:type="dxa"/>
            <w:tcBorders>
              <w:tl2br w:val="nil"/>
              <w:tr2bl w:val="nil"/>
            </w:tcBorders>
            <w:noWrap w:val="0"/>
            <w:vAlign w:val="center"/>
          </w:tcPr>
          <w:p w14:paraId="23D0ECB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高级别自动驾驶示范区4.0扩区覆盖海淀区304平方公里、917个路口。聚焦自动驾驶出租车、无人驾驶小巴、无人配送车、清河站等场景，形成自动驾驶及赋能“双智”城市建设方案。</w:t>
            </w:r>
          </w:p>
        </w:tc>
      </w:tr>
      <w:tr w14:paraId="3CE7EA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16318D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p>
        </w:tc>
        <w:tc>
          <w:tcPr>
            <w:tcW w:w="1231" w:type="dxa"/>
            <w:tcBorders>
              <w:tl2br w:val="nil"/>
              <w:tr2bl w:val="nil"/>
            </w:tcBorders>
            <w:noWrap w:val="0"/>
            <w:vAlign w:val="center"/>
          </w:tcPr>
          <w:p w14:paraId="0A4706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量子信息</w:t>
            </w:r>
          </w:p>
        </w:tc>
        <w:tc>
          <w:tcPr>
            <w:tcW w:w="7315" w:type="dxa"/>
            <w:tcBorders>
              <w:tl2br w:val="nil"/>
              <w:tr2bl w:val="nil"/>
            </w:tcBorders>
            <w:noWrap w:val="0"/>
            <w:vAlign w:val="center"/>
          </w:tcPr>
          <w:p w14:paraId="7CFFAB79">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出台《中关村科学城量子科技跃迁引领行动计划（2024</w:t>
            </w: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2027年）》</w:t>
            </w:r>
          </w:p>
          <w:p w14:paraId="4CD437F8">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推动北京量子信息产业发展基金落地海淀，规模约2亿元。</w:t>
            </w:r>
            <w:r>
              <w:rPr>
                <w:rFonts w:hint="eastAsia" w:ascii="宋体" w:hAnsi="宋体" w:eastAsia="宋体" w:cs="宋体"/>
                <w:color w:val="000000" w:themeColor="text1"/>
                <w:kern w:val="0"/>
                <w:sz w:val="24"/>
                <w:szCs w:val="24"/>
                <w:lang w:val="en-US" w:eastAsia="zh-CN" w:bidi="ar-SA"/>
                <w14:textFill>
                  <w14:solidFill>
                    <w14:schemeClr w14:val="tx1"/>
                  </w14:solidFill>
                </w14:textFill>
              </w:rPr>
              <w:t>建成全国首家量子科技孵化器和全市首家量子科技产业园。</w:t>
            </w:r>
          </w:p>
        </w:tc>
      </w:tr>
      <w:tr w14:paraId="2E682B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3F7BC3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43289B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氢能</w:t>
            </w:r>
          </w:p>
        </w:tc>
        <w:tc>
          <w:tcPr>
            <w:tcW w:w="7315" w:type="dxa"/>
            <w:tcBorders>
              <w:tl2br w:val="nil"/>
              <w:tr2bl w:val="nil"/>
            </w:tcBorders>
            <w:noWrap w:val="0"/>
            <w:vAlign w:val="center"/>
          </w:tcPr>
          <w:p w14:paraId="118B5A9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氢能和储能产业园</w:t>
            </w: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综合控规方案已报市级主管单位审批</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w:t>
            </w:r>
          </w:p>
          <w:p w14:paraId="4A30C63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完成京津冀第三示范年度170辆燃料电池汽车推广；永丰加氢站完成扩建，加氢能力由1吨/日提升至1.75吨/日。</w:t>
            </w:r>
          </w:p>
        </w:tc>
      </w:tr>
      <w:tr w14:paraId="0058F9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vMerge w:val="continue"/>
            <w:tcBorders>
              <w:tl2br w:val="nil"/>
              <w:tr2bl w:val="nil"/>
            </w:tcBorders>
            <w:noWrap w:val="0"/>
            <w:vAlign w:val="center"/>
          </w:tcPr>
          <w:p w14:paraId="55CB6A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p>
        </w:tc>
        <w:tc>
          <w:tcPr>
            <w:tcW w:w="1231" w:type="dxa"/>
            <w:tcBorders>
              <w:tl2br w:val="nil"/>
              <w:tr2bl w:val="nil"/>
            </w:tcBorders>
            <w:noWrap w:val="0"/>
            <w:vAlign w:val="center"/>
          </w:tcPr>
          <w:p w14:paraId="486A6F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6G</w:t>
            </w:r>
          </w:p>
        </w:tc>
        <w:tc>
          <w:tcPr>
            <w:tcW w:w="7315" w:type="dxa"/>
            <w:tcBorders>
              <w:tl2br w:val="nil"/>
              <w:tr2bl w:val="nil"/>
            </w:tcBorders>
            <w:noWrap w:val="0"/>
            <w:vAlign w:val="center"/>
          </w:tcPr>
          <w:p w14:paraId="244310F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发布6G云化无线网络超大规模MIMO原型验证系统，成立6G通感算智融合创新平台。</w:t>
            </w:r>
          </w:p>
          <w:p w14:paraId="4836BD1F">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发布国际首个通信与智能融合的6G外场试验网。</w:t>
            </w:r>
          </w:p>
        </w:tc>
      </w:tr>
      <w:tr w14:paraId="252F71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513" w:type="dxa"/>
            <w:tcBorders>
              <w:tl2br w:val="nil"/>
              <w:tr2bl w:val="nil"/>
            </w:tcBorders>
            <w:noWrap w:val="0"/>
            <w:vAlign w:val="center"/>
          </w:tcPr>
          <w:p w14:paraId="515554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1</w:t>
            </w:r>
          </w:p>
        </w:tc>
        <w:tc>
          <w:tcPr>
            <w:tcW w:w="1231" w:type="dxa"/>
            <w:tcBorders>
              <w:tl2br w:val="nil"/>
              <w:tr2bl w:val="nil"/>
            </w:tcBorders>
            <w:noWrap w:val="0"/>
            <w:vAlign w:val="center"/>
          </w:tcPr>
          <w:p w14:paraId="2B2EA5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pPr>
            <w:r>
              <w:rPr>
                <w:rFonts w:hint="eastAsia" w:ascii="宋体" w:hAnsi="宋体" w:eastAsia="宋体" w:cs="宋体"/>
                <w:color w:val="000000" w:themeColor="text1"/>
                <w:spacing w:val="0"/>
                <w:w w:val="100"/>
                <w:kern w:val="0"/>
                <w:sz w:val="24"/>
                <w:szCs w:val="24"/>
                <w:highlight w:val="none"/>
                <w:u w:val="none" w:color="auto"/>
                <w:lang w:val="en-US" w:eastAsia="zh-CN" w:bidi="ar-SA"/>
                <w14:textFill>
                  <w14:solidFill>
                    <w14:schemeClr w14:val="tx1"/>
                  </w14:solidFill>
                </w14:textFill>
              </w:rPr>
              <w:t>科技服务</w:t>
            </w:r>
          </w:p>
        </w:tc>
        <w:tc>
          <w:tcPr>
            <w:tcW w:w="7315" w:type="dxa"/>
            <w:tcBorders>
              <w:tl2br w:val="nil"/>
              <w:tr2bl w:val="nil"/>
            </w:tcBorders>
            <w:noWrap w:val="0"/>
            <w:vAlign w:val="center"/>
          </w:tcPr>
          <w:p w14:paraId="61A89A1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启动创业大街、科服公司招商服务站，跟踪50余个高精尖产业项目，完成20个项目落地。</w:t>
            </w:r>
          </w:p>
          <w:p w14:paraId="1687C19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发布规模50亿元的中关村科学城科技成长二期基金，基金总规模扩充至100亿；举办投资品牌活动“投海听韬”沙龙</w:t>
            </w: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16</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期。</w:t>
            </w:r>
          </w:p>
          <w:p w14:paraId="5A19E1F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推动北科大、北大口腔医院概念验证中心建设，5个概念验证中心新立概念验证项目</w:t>
            </w: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33</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个，落地转化</w:t>
            </w:r>
            <w:r>
              <w:rPr>
                <w:rFonts w:hint="eastAsia" w:ascii="宋体" w:hAnsi="宋体" w:cs="宋体"/>
                <w:color w:val="000000" w:themeColor="text1"/>
                <w:kern w:val="0"/>
                <w:sz w:val="24"/>
                <w:szCs w:val="24"/>
                <w:u w:val="none" w:color="auto"/>
                <w:vertAlign w:val="baseline"/>
                <w:lang w:val="en-US" w:eastAsia="zh-CN" w:bidi="ar-SA"/>
                <w14:textFill>
                  <w14:solidFill>
                    <w14:schemeClr w14:val="tx1"/>
                  </w14:solidFill>
                </w14:textFill>
              </w:rPr>
              <w:t>69</w:t>
            </w: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个。</w:t>
            </w:r>
          </w:p>
          <w:p w14:paraId="61B188C7">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leftChars="0" w:hanging="420" w:firstLineChars="0"/>
              <w:jc w:val="both"/>
              <w:textAlignment w:val="auto"/>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pPr>
            <w:r>
              <w:rPr>
                <w:rFonts w:hint="eastAsia" w:ascii="宋体" w:hAnsi="宋体" w:eastAsia="宋体" w:cs="宋体"/>
                <w:color w:val="000000" w:themeColor="text1"/>
                <w:kern w:val="0"/>
                <w:sz w:val="24"/>
                <w:szCs w:val="24"/>
                <w:u w:val="none" w:color="auto"/>
                <w:vertAlign w:val="baseline"/>
                <w:lang w:val="en-US" w:eastAsia="zh-CN" w:bidi="ar-SA"/>
                <w14:textFill>
                  <w14:solidFill>
                    <w14:schemeClr w14:val="tx1"/>
                  </w14:solidFill>
                </w14:textFill>
              </w:rPr>
              <w:t>获批启动全市唯一国家知识产权保护示范区建设，新增6个知识产权公共服务工作站。发行新一期知识产权证券化产品。</w:t>
            </w:r>
          </w:p>
        </w:tc>
      </w:tr>
    </w:tbl>
    <w:p w14:paraId="756EDBA7">
      <w:pPr>
        <w:keepNext w:val="0"/>
        <w:keepLines w:val="0"/>
        <w:pageBreakBefore w:val="0"/>
        <w:widowControl w:val="0"/>
        <w:suppressAutoHyphens/>
        <w:kinsoku/>
        <w:wordWrap/>
        <w:overflowPunct w:val="0"/>
        <w:topLinePunct w:val="0"/>
        <w:autoSpaceDE/>
        <w:autoSpaceDN/>
        <w:bidi w:val="0"/>
        <w:adjustRightInd/>
        <w:snapToGrid/>
        <w:spacing w:line="560" w:lineRule="exact"/>
        <w:ind w:firstLine="643" w:firstLineChars="200"/>
        <w:jc w:val="both"/>
        <w:textAlignment w:val="auto"/>
        <w:outlineLvl w:val="9"/>
        <w:rPr>
          <w:rFonts w:hint="eastAsia" w:ascii="仿宋_GB2312" w:hAnsi="仿宋" w:eastAsia="仿宋_GB2312" w:cs="Times New Roman"/>
          <w:b w:val="0"/>
          <w:bCs w:val="0"/>
          <w:color w:val="000000" w:themeColor="text1"/>
          <w:spacing w:val="0"/>
          <w:sz w:val="32"/>
          <w:szCs w:val="32"/>
          <w:highlight w:val="none"/>
          <w:u w:val="none" w:color="auto"/>
          <w:lang w:eastAsia="zh-CN"/>
          <w14:textFill>
            <w14:solidFill>
              <w14:schemeClr w14:val="tx1"/>
            </w14:solidFill>
          </w14:textFill>
        </w:rPr>
      </w:pPr>
      <w:r>
        <w:rPr>
          <w:rFonts w:hint="eastAsia" w:ascii="仿宋_GB2312" w:hAnsi="仿宋" w:eastAsia="仿宋_GB2312" w:cs="Times New Roman"/>
          <w:b/>
          <w:bCs w:val="0"/>
          <w:color w:val="000000" w:themeColor="text1"/>
          <w:spacing w:val="0"/>
          <w:w w:val="100"/>
          <w:sz w:val="32"/>
          <w:szCs w:val="32"/>
          <w:highlight w:val="none"/>
          <w:u w:val="none" w:color="auto"/>
          <w:lang w:val="en-US" w:eastAsia="zh-CN"/>
          <w14:textFill>
            <w14:solidFill>
              <w14:schemeClr w14:val="tx1"/>
            </w14:solidFill>
          </w14:textFill>
        </w:rPr>
        <w:t>有效投资扩大带动经济发展。</w:t>
      </w:r>
      <w:r>
        <w:rPr>
          <w:rFonts w:hint="eastAsia" w:ascii="仿宋_GB2312" w:hAnsi="仿宋" w:eastAsia="仿宋_GB2312" w:cs="Times New Roman"/>
          <w:b w:val="0"/>
          <w:bCs/>
          <w:color w:val="000000" w:themeColor="text1"/>
          <w:spacing w:val="0"/>
          <w:w w:val="100"/>
          <w:sz w:val="32"/>
          <w:szCs w:val="32"/>
          <w:highlight w:val="none"/>
          <w:u w:val="none" w:color="auto"/>
          <w:lang w:val="en-US" w:eastAsia="zh-CN"/>
          <w14:textFill>
            <w14:solidFill>
              <w14:schemeClr w14:val="tx1"/>
            </w14:solidFill>
          </w14:textFill>
        </w:rPr>
        <w:t>重大项目有效支撑，全区开复工面积2448.68万平方米、完工面积710.24万平方米，全年安排亿元以上投资重大项目121个，当年计划投资超千亿元，</w:t>
      </w:r>
      <w:r>
        <w:rPr>
          <w:rFonts w:hint="eastAsia" w:ascii="仿宋_GB2312" w:hAnsi="仿宋_GB2312" w:eastAsia="仿宋_GB2312" w:cs="仿宋_GB2312"/>
          <w:color w:val="000000" w:themeColor="text1"/>
          <w:spacing w:val="0"/>
          <w:sz w:val="32"/>
          <w:szCs w:val="32"/>
          <w:u w:val="none" w:color="auto"/>
          <w:lang w:eastAsia="zh-CN"/>
          <w14:textFill>
            <w14:solidFill>
              <w14:schemeClr w14:val="tx1"/>
            </w14:solidFill>
          </w14:textFill>
        </w:rPr>
        <w:t>推动数字科技中心三期、中关村翠湖科技园人工智能创新应用产业园等</w:t>
      </w:r>
      <w:r>
        <w:rPr>
          <w:rFonts w:hint="eastAsia" w:ascii="仿宋_GB2312" w:hAnsi="仿宋_GB2312" w:eastAsia="仿宋_GB2312" w:cs="仿宋_GB2312"/>
          <w:color w:val="000000" w:themeColor="text1"/>
          <w:spacing w:val="0"/>
          <w:sz w:val="32"/>
          <w:szCs w:val="32"/>
          <w:u w:val="none" w:color="auto"/>
          <w:lang w:val="en-US" w:eastAsia="zh-CN"/>
          <w14:textFill>
            <w14:solidFill>
              <w14:schemeClr w14:val="tx1"/>
            </w14:solidFill>
          </w14:textFill>
        </w:rPr>
        <w:t>29个</w:t>
      </w:r>
      <w:r>
        <w:rPr>
          <w:rFonts w:hint="eastAsia" w:ascii="仿宋_GB2312" w:hAnsi="仿宋_GB2312" w:eastAsia="仿宋_GB2312" w:cs="仿宋_GB2312"/>
          <w:color w:val="000000" w:themeColor="text1"/>
          <w:spacing w:val="0"/>
          <w:sz w:val="32"/>
          <w:szCs w:val="32"/>
          <w:u w:val="none" w:color="auto"/>
          <w:lang w:eastAsia="zh-CN"/>
          <w14:textFill>
            <w14:solidFill>
              <w14:schemeClr w14:val="tx1"/>
            </w14:solidFill>
          </w14:textFill>
        </w:rPr>
        <w:t>市级“3个100”重点工程开工达产</w:t>
      </w:r>
      <w:r>
        <w:rPr>
          <w:rFonts w:hint="eastAsia" w:ascii="仿宋_GB2312" w:hAnsi="仿宋_GB2312" w:eastAsia="仿宋_GB2312" w:cs="仿宋_GB2312"/>
          <w:color w:val="000000" w:themeColor="text1"/>
          <w:spacing w:val="0"/>
          <w:w w:val="100"/>
          <w:sz w:val="32"/>
          <w:szCs w:val="32"/>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u w:val="none" w:color="auto"/>
          <w14:textFill>
            <w14:solidFill>
              <w14:schemeClr w14:val="tx1"/>
            </w14:solidFill>
          </w14:textFill>
        </w:rPr>
        <w:t>全区固定资产投资同比增长</w:t>
      </w:r>
      <w:r>
        <w:rPr>
          <w:rFonts w:hint="eastAsia" w:ascii="仿宋_GB2312" w:hAnsi="仿宋_GB2312" w:eastAsia="仿宋_GB2312" w:cs="仿宋_GB2312"/>
          <w:color w:val="000000" w:themeColor="text1"/>
          <w:spacing w:val="0"/>
          <w:w w:val="100"/>
          <w:sz w:val="32"/>
          <w:szCs w:val="32"/>
          <w:u w:val="none" w:color="auto"/>
          <w:lang w:val="en-US" w:eastAsia="zh-CN"/>
          <w14:textFill>
            <w14:solidFill>
              <w14:schemeClr w14:val="tx1"/>
            </w14:solidFill>
          </w14:textFill>
        </w:rPr>
        <w:t>8.7</w:t>
      </w:r>
      <w:r>
        <w:rPr>
          <w:rFonts w:hint="eastAsia" w:ascii="仿宋_GB2312" w:hAnsi="仿宋_GB2312" w:eastAsia="仿宋_GB2312" w:cs="仿宋_GB2312"/>
          <w:color w:val="000000" w:themeColor="text1"/>
          <w:spacing w:val="0"/>
          <w:w w:val="100"/>
          <w:sz w:val="32"/>
          <w:szCs w:val="32"/>
          <w:u w:val="none" w:color="auto"/>
          <w14:textFill>
            <w14:solidFill>
              <w14:schemeClr w14:val="tx1"/>
            </w14:solidFill>
          </w14:textFill>
        </w:rPr>
        <w:t>%</w:t>
      </w:r>
      <w:r>
        <w:rPr>
          <w:rFonts w:hint="eastAsia" w:ascii="仿宋_GB2312" w:hAnsi="仿宋"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政府投资稳步推进，</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安排政府投资建设项目310项，</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当年安排</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资金177.07亿元</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历史尾款尚未完成结决算项目压减至46个。安排民间投资项目40个，总投资1060亿元。加强</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投资要素</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全方位</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保障，</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拨付</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地方政府专项债</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260.92</w:t>
      </w:r>
      <w:r>
        <w:rPr>
          <w:rFonts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亿元</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；完成99宗共计369.22公顷土地的供应工作</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申报</w:t>
      </w:r>
      <w:r>
        <w:rPr>
          <w:rFonts w:hint="eastAsia" w:ascii="仿宋_GB2312" w:hAnsi="仿宋"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超长期特别国债</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111个项目、总投资达537亿元，</w:t>
      </w:r>
      <w:r>
        <w:rPr>
          <w:rFonts w:hint="eastAsia" w:ascii="仿宋_GB2312" w:hAnsi="仿宋_GB2312" w:eastAsia="仿宋_GB2312" w:cs="仿宋_GB2312"/>
          <w:b w:val="0"/>
          <w:bCs w:val="0"/>
          <w:color w:val="000000" w:themeColor="text1"/>
          <w:spacing w:val="0"/>
          <w:sz w:val="32"/>
          <w:szCs w:val="32"/>
          <w:u w:val="none" w:color="auto"/>
          <w:lang w:val="en-US" w:eastAsia="zh-CN"/>
          <w14:textFill>
            <w14:solidFill>
              <w14:schemeClr w14:val="tx1"/>
            </w14:solidFill>
          </w14:textFill>
        </w:rPr>
        <w:t>申报国债资金116亿元</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。有序谋划重大投资项目储备，</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在库</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亿元以上</w:t>
      </w:r>
      <w:r>
        <w:rPr>
          <w:rFonts w:hint="eastAsia" w:ascii="仿宋_GB2312" w:hAnsi="仿宋_GB2312" w:eastAsia="仿宋_GB2312" w:cs="仿宋_GB2312"/>
          <w:b w:val="0"/>
          <w:bCs w:val="0"/>
          <w:color w:val="000000" w:themeColor="text1"/>
          <w:spacing w:val="0"/>
          <w:w w:val="100"/>
          <w:sz w:val="32"/>
          <w:szCs w:val="32"/>
          <w:highlight w:val="none"/>
          <w:u w:val="none" w:color="auto"/>
          <w14:textFill>
            <w14:solidFill>
              <w14:schemeClr w14:val="tx1"/>
            </w14:solidFill>
          </w14:textFill>
        </w:rPr>
        <w:t>项目</w:t>
      </w:r>
      <w:r>
        <w:rPr>
          <w:rFonts w:hint="eastAsia" w:ascii="仿宋_GB2312" w:hAnsi="仿宋_GB2312" w:eastAsia="仿宋_GB2312" w:cs="仿宋_GB2312"/>
          <w:b w:val="0"/>
          <w:bCs w:val="0"/>
          <w:color w:val="000000" w:themeColor="text1"/>
          <w:spacing w:val="0"/>
          <w:w w:val="100"/>
          <w:sz w:val="32"/>
          <w:szCs w:val="32"/>
          <w:highlight w:val="none"/>
          <w:u w:val="none" w:color="auto"/>
          <w:lang w:val="en-US" w:eastAsia="zh-CN"/>
          <w14:textFill>
            <w14:solidFill>
              <w14:schemeClr w14:val="tx1"/>
            </w14:solidFill>
          </w14:textFill>
        </w:rPr>
        <w:t>291</w:t>
      </w:r>
      <w:r>
        <w:rPr>
          <w:rFonts w:ascii="仿宋_GB2312" w:hAnsi="仿宋_GB2312" w:eastAsia="仿宋_GB2312" w:cs="仿宋_GB2312"/>
          <w:b w:val="0"/>
          <w:bCs w:val="0"/>
          <w:color w:val="000000" w:themeColor="text1"/>
          <w:spacing w:val="0"/>
          <w:w w:val="100"/>
          <w:sz w:val="32"/>
          <w:szCs w:val="32"/>
          <w:highlight w:val="none"/>
          <w:u w:val="none" w:color="auto"/>
          <w14:textFill>
            <w14:solidFill>
              <w14:schemeClr w14:val="tx1"/>
            </w14:solidFill>
          </w14:textFill>
        </w:rPr>
        <w:t>个，涉及总投资</w:t>
      </w:r>
      <w:r>
        <w:rPr>
          <w:rFonts w:hint="eastAsia" w:ascii="仿宋_GB2312" w:hAnsi="微软雅黑" w:eastAsia="仿宋_GB2312" w:cs="微软雅黑"/>
          <w:b w:val="0"/>
          <w:bCs w:val="0"/>
          <w:color w:val="000000" w:themeColor="text1"/>
          <w:spacing w:val="0"/>
          <w:w w:val="100"/>
          <w:sz w:val="32"/>
          <w:szCs w:val="32"/>
          <w:highlight w:val="none"/>
          <w:u w:val="none" w:color="auto"/>
          <w:lang w:val="en-US" w:eastAsia="zh-CN"/>
          <w14:textFill>
            <w14:solidFill>
              <w14:schemeClr w14:val="tx1"/>
            </w14:solidFill>
          </w14:textFill>
        </w:rPr>
        <w:t>4319</w:t>
      </w:r>
      <w:r>
        <w:rPr>
          <w:rFonts w:hint="eastAsia" w:ascii="仿宋_GB2312" w:hAnsi="仿宋_GB2312" w:eastAsia="仿宋_GB2312" w:cs="仿宋_GB2312"/>
          <w:b w:val="0"/>
          <w:bCs w:val="0"/>
          <w:color w:val="000000" w:themeColor="text1"/>
          <w:spacing w:val="0"/>
          <w:w w:val="100"/>
          <w:sz w:val="32"/>
          <w:szCs w:val="32"/>
          <w:highlight w:val="none"/>
          <w:u w:val="none" w:color="auto"/>
          <w14:textFill>
            <w14:solidFill>
              <w14:schemeClr w14:val="tx1"/>
            </w14:solidFill>
          </w14:textFill>
        </w:rPr>
        <w:t>亿元</w:t>
      </w:r>
      <w:r>
        <w:rPr>
          <w:rFonts w:hint="eastAsia" w:ascii="仿宋_GB2312" w:hAnsi="仿宋_GB2312" w:eastAsia="仿宋_GB2312" w:cs="仿宋_GB2312"/>
          <w:b w:val="0"/>
          <w:bCs w:val="0"/>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Calibri" w:eastAsia="仿宋_GB2312" w:cs="Times New Roman"/>
          <w:b w:val="0"/>
          <w:bCs w:val="0"/>
          <w:color w:val="000000" w:themeColor="text1"/>
          <w:spacing w:val="0"/>
          <w:sz w:val="32"/>
          <w:szCs w:val="32"/>
          <w:highlight w:val="none"/>
          <w:u w:val="none" w:color="auto"/>
          <w:lang w:val="en-US" w:eastAsia="zh-CN"/>
          <w14:textFill>
            <w14:solidFill>
              <w14:schemeClr w14:val="tx1"/>
            </w14:solidFill>
          </w14:textFill>
        </w:rPr>
        <w:t>2024</w:t>
      </w:r>
      <w:r>
        <w:rPr>
          <w:rFonts w:hint="eastAsia" w:ascii="仿宋_GB2312" w:hAnsi="Calibri"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重大项目谋划资金共</w:t>
      </w:r>
      <w:r>
        <w:rPr>
          <w:rFonts w:hint="eastAsia" w:ascii="仿宋_GB2312" w:hAnsi="方正仿宋_GBK" w:eastAsia="仿宋_GB2312" w:cs="方正仿宋_GBK"/>
          <w:b w:val="0"/>
          <w:bCs w:val="0"/>
          <w:color w:val="000000" w:themeColor="text1"/>
          <w:spacing w:val="0"/>
          <w:sz w:val="32"/>
          <w:szCs w:val="32"/>
          <w:highlight w:val="none"/>
          <w:u w:val="none" w:color="auto"/>
          <w14:textFill>
            <w14:solidFill>
              <w14:schemeClr w14:val="tx1"/>
            </w14:solidFill>
          </w14:textFill>
        </w:rPr>
        <w:t>支持项目33</w:t>
      </w:r>
      <w:r>
        <w:rPr>
          <w:rFonts w:hint="eastAsia" w:ascii="仿宋_GB2312" w:hAnsi="方正仿宋_GBK" w:eastAsia="仿宋_GB2312" w:cs="方正仿宋_GBK"/>
          <w:b w:val="0"/>
          <w:bCs w:val="0"/>
          <w:color w:val="000000" w:themeColor="text1"/>
          <w:spacing w:val="0"/>
          <w:sz w:val="32"/>
          <w:szCs w:val="32"/>
          <w:highlight w:val="none"/>
          <w:u w:val="none" w:color="auto"/>
          <w:lang w:eastAsia="zh-CN"/>
          <w14:textFill>
            <w14:solidFill>
              <w14:schemeClr w14:val="tx1"/>
            </w14:solidFill>
          </w14:textFill>
        </w:rPr>
        <w:t>个</w:t>
      </w:r>
      <w:r>
        <w:rPr>
          <w:rFonts w:hint="eastAsia" w:ascii="仿宋_GB2312" w:hAnsi="方正仿宋_GBK" w:eastAsia="仿宋_GB2312" w:cs="方正仿宋_GBK"/>
          <w:b w:val="0"/>
          <w:bCs w:val="0"/>
          <w:color w:val="000000" w:themeColor="text1"/>
          <w:spacing w:val="0"/>
          <w:sz w:val="32"/>
          <w:szCs w:val="32"/>
          <w:highlight w:val="none"/>
          <w:u w:val="none" w:color="auto"/>
          <w14:textFill>
            <w14:solidFill>
              <w14:schemeClr w14:val="tx1"/>
            </w14:solidFill>
          </w14:textFill>
        </w:rPr>
        <w:t>，总投资266.9亿元</w:t>
      </w:r>
      <w:r>
        <w:rPr>
          <w:rFonts w:hint="eastAsia" w:ascii="仿宋_GB2312" w:hAnsi="仿宋"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w:t>
      </w:r>
    </w:p>
    <w:p w14:paraId="021914D4">
      <w:pPr>
        <w:pStyle w:val="32"/>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专栏2:2024年区政府投资项目主要进展情况</w:t>
      </w:r>
    </w:p>
    <w:tbl>
      <w:tblPr>
        <w:tblStyle w:val="25"/>
        <w:tblW w:w="884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71"/>
        <w:gridCol w:w="3162"/>
        <w:gridCol w:w="4111"/>
      </w:tblGrid>
      <w:tr w14:paraId="368683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571" w:type="dxa"/>
            <w:tcBorders>
              <w:tl2br w:val="nil"/>
              <w:tr2bl w:val="nil"/>
            </w:tcBorders>
            <w:noWrap w:val="0"/>
            <w:vAlign w:val="center"/>
          </w:tcPr>
          <w:p w14:paraId="5A3C70C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lang w:eastAsia="zh-CN" w:bidi="ar"/>
                <w14:textFill>
                  <w14:solidFill>
                    <w14:schemeClr w14:val="tx1"/>
                  </w14:solidFill>
                </w14:textFill>
              </w:rPr>
              <w:t>项目类别</w:t>
            </w:r>
          </w:p>
        </w:tc>
        <w:tc>
          <w:tcPr>
            <w:tcW w:w="3162" w:type="dxa"/>
            <w:tcBorders>
              <w:tl2br w:val="nil"/>
              <w:tr2bl w:val="nil"/>
            </w:tcBorders>
            <w:noWrap w:val="0"/>
            <w:vAlign w:val="center"/>
          </w:tcPr>
          <w:p w14:paraId="6D23034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lang w:eastAsia="zh-CN" w:bidi="ar"/>
                <w14:textFill>
                  <w14:solidFill>
                    <w14:schemeClr w14:val="tx1"/>
                  </w14:solidFill>
                </w14:textFill>
              </w:rPr>
              <w:t>计划安排</w:t>
            </w:r>
          </w:p>
        </w:tc>
        <w:tc>
          <w:tcPr>
            <w:tcW w:w="4111" w:type="dxa"/>
            <w:tcBorders>
              <w:tl2br w:val="nil"/>
              <w:tr2bl w:val="nil"/>
            </w:tcBorders>
            <w:noWrap w:val="0"/>
            <w:vAlign w:val="center"/>
          </w:tcPr>
          <w:p w14:paraId="5B5A5BC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kern w:val="0"/>
                <w:sz w:val="24"/>
                <w:szCs w:val="24"/>
                <w:lang w:eastAsia="zh-CN" w:bidi="ar"/>
                <w14:textFill>
                  <w14:solidFill>
                    <w14:schemeClr w14:val="tx1"/>
                  </w14:solidFill>
                </w14:textFill>
              </w:rPr>
              <w:t>工作进展</w:t>
            </w:r>
          </w:p>
        </w:tc>
      </w:tr>
      <w:tr w14:paraId="64CEF4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571" w:type="dxa"/>
            <w:tcBorders>
              <w:tl2br w:val="nil"/>
              <w:tr2bl w:val="nil"/>
            </w:tcBorders>
            <w:noWrap w:val="0"/>
            <w:vAlign w:val="center"/>
          </w:tcPr>
          <w:p w14:paraId="2D1C0B4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环境治理类（</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93项</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p>
        </w:tc>
        <w:tc>
          <w:tcPr>
            <w:tcW w:w="3162" w:type="dxa"/>
            <w:tcBorders>
              <w:tl2br w:val="nil"/>
              <w:tr2bl w:val="nil"/>
            </w:tcBorders>
            <w:noWrap w:val="0"/>
            <w:vAlign w:val="center"/>
          </w:tcPr>
          <w:p w14:paraId="3C43B64A">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cente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区级总投资</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356.51亿元，包含绿化景观类项目25项，水利设施类项目40项，环境治理类项目22项，建筑垃圾处理设施及周边配套项目6项。</w:t>
            </w:r>
          </w:p>
        </w:tc>
        <w:tc>
          <w:tcPr>
            <w:tcW w:w="4111" w:type="dxa"/>
            <w:tcBorders>
              <w:tl2br w:val="nil"/>
              <w:tr2bl w:val="nil"/>
            </w:tcBorders>
            <w:noWrap w:val="0"/>
            <w:vAlign w:val="center"/>
          </w:tcPr>
          <w:p w14:paraId="4AA09D2C">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重点区域绿道连通项目（一期）、京张铁路遗址公共空间改造提升工程（一期）配套工程如期完工。</w:t>
            </w:r>
          </w:p>
          <w:p w14:paraId="02C7CBF8">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kern w:val="0"/>
                <w:sz w:val="24"/>
                <w:szCs w:val="24"/>
                <w:lang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“清河之洲”夜景灯光提升项目</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投入</w:t>
            </w:r>
            <w:r>
              <w:rPr>
                <w:rFonts w:hint="eastAsia" w:ascii="宋体" w:hAnsi="宋体" w:eastAsia="宋体" w:cs="宋体"/>
                <w:b w:val="0"/>
                <w:bCs w:val="0"/>
                <w:color w:val="000000" w:themeColor="text1"/>
                <w:kern w:val="0"/>
                <w:sz w:val="24"/>
                <w:szCs w:val="24"/>
                <w:lang w:bidi="ar"/>
                <w14:textFill>
                  <w14:solidFill>
                    <w14:schemeClr w14:val="tx1"/>
                  </w14:solidFill>
                </w14:textFill>
              </w:rPr>
              <w:t>使用</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中央党校西墙外环境整治项目按时完工。</w:t>
            </w:r>
          </w:p>
          <w:p w14:paraId="263A384D">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kern w:val="0"/>
                <w:sz w:val="24"/>
                <w:szCs w:val="24"/>
                <w:lang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北坞村路周边架空线入地工程</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重点区域周边道路架空线入地项目二期竣工验收。</w:t>
            </w:r>
          </w:p>
          <w:p w14:paraId="7A7AB2B7">
            <w:pPr>
              <w:keepNext w:val="0"/>
              <w:keepLines w:val="0"/>
              <w:pageBreakBefore w:val="0"/>
              <w:widowControl/>
              <w:numPr>
                <w:ilvl w:val="0"/>
                <w:numId w:val="1"/>
              </w:numPr>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kern w:val="0"/>
                <w:sz w:val="24"/>
                <w:szCs w:val="24"/>
                <w:lang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加快推进2024年海绵城市建设。</w:t>
            </w:r>
          </w:p>
        </w:tc>
      </w:tr>
      <w:tr w14:paraId="37E237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571" w:type="dxa"/>
            <w:tcBorders>
              <w:tl2br w:val="nil"/>
              <w:tr2bl w:val="nil"/>
            </w:tcBorders>
            <w:noWrap w:val="0"/>
            <w:vAlign w:val="center"/>
          </w:tcPr>
          <w:p w14:paraId="212137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社会事业类（</w:t>
            </w:r>
            <w:r>
              <w:rPr>
                <w:rFonts w:hint="eastAsia" w:ascii="宋体" w:hAnsi="宋体" w:eastAsia="宋体" w:cs="宋体"/>
                <w:b w:val="0"/>
                <w:bCs w:val="0"/>
                <w:color w:val="000000" w:themeColor="text1"/>
                <w:sz w:val="24"/>
                <w:szCs w:val="24"/>
                <w:lang w:val="en-US" w:eastAsia="zh-CN"/>
                <w14:textFill>
                  <w14:solidFill>
                    <w14:schemeClr w14:val="tx1"/>
                  </w14:solidFill>
                </w14:textFill>
              </w:rPr>
              <w:t>129项</w:t>
            </w:r>
            <w:r>
              <w:rPr>
                <w:rFonts w:hint="eastAsia" w:ascii="宋体" w:hAnsi="宋体" w:eastAsia="宋体" w:cs="宋体"/>
                <w:b w:val="0"/>
                <w:bCs w:val="0"/>
                <w:color w:val="000000" w:themeColor="text1"/>
                <w:sz w:val="24"/>
                <w:szCs w:val="24"/>
                <w:lang w:eastAsia="zh-CN"/>
                <w14:textFill>
                  <w14:solidFill>
                    <w14:schemeClr w14:val="tx1"/>
                  </w14:solidFill>
                </w14:textFill>
              </w:rPr>
              <w:t>）</w:t>
            </w:r>
          </w:p>
        </w:tc>
        <w:tc>
          <w:tcPr>
            <w:tcW w:w="3162" w:type="dxa"/>
            <w:tcBorders>
              <w:tl2br w:val="nil"/>
              <w:tr2bl w:val="nil"/>
            </w:tcBorders>
            <w:noWrap w:val="0"/>
            <w:vAlign w:val="center"/>
          </w:tcPr>
          <w:p w14:paraId="1A3078A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区级总投资</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169.67亿元，</w:t>
            </w: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包含教育基础设施建设31项，卫生基础设施建设7项，社会服务类工程74项，电力配套项目17项。</w:t>
            </w:r>
          </w:p>
        </w:tc>
        <w:tc>
          <w:tcPr>
            <w:tcW w:w="4111" w:type="dxa"/>
            <w:tcBorders>
              <w:tl2br w:val="nil"/>
              <w:tr2bl w:val="nil"/>
            </w:tcBorders>
            <w:noWrap w:val="0"/>
            <w:vAlign w:val="center"/>
          </w:tcPr>
          <w:p w14:paraId="72A1C8EF">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亮甲店九年一贯制学校及幼儿园新建项目、北京市第二十中学新都校区改扩建工程如期完工。</w:t>
            </w:r>
          </w:p>
          <w:p w14:paraId="6CDD270E">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加快推进2024年老旧小区综合整治项目、海淀区十八个社区卫生服务站装修改造工程建设。</w:t>
            </w:r>
          </w:p>
        </w:tc>
      </w:tr>
      <w:tr w14:paraId="5DE314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571" w:type="dxa"/>
            <w:tcBorders>
              <w:tl2br w:val="nil"/>
              <w:tr2bl w:val="nil"/>
            </w:tcBorders>
            <w:noWrap w:val="0"/>
            <w:vAlign w:val="center"/>
          </w:tcPr>
          <w:p w14:paraId="514EDF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交通基础设施类（</w:t>
            </w:r>
            <w:r>
              <w:rPr>
                <w:rFonts w:hint="eastAsia" w:ascii="宋体" w:hAnsi="宋体" w:eastAsia="宋体" w:cs="宋体"/>
                <w:b w:val="0"/>
                <w:bCs w:val="0"/>
                <w:color w:val="000000" w:themeColor="text1"/>
                <w:sz w:val="24"/>
                <w:szCs w:val="24"/>
                <w:lang w:val="en-US" w:eastAsia="zh-CN"/>
                <w14:textFill>
                  <w14:solidFill>
                    <w14:schemeClr w14:val="tx1"/>
                  </w14:solidFill>
                </w14:textFill>
              </w:rPr>
              <w:t>86项</w:t>
            </w:r>
            <w:r>
              <w:rPr>
                <w:rFonts w:hint="eastAsia" w:ascii="宋体" w:hAnsi="宋体" w:eastAsia="宋体" w:cs="宋体"/>
                <w:b w:val="0"/>
                <w:bCs w:val="0"/>
                <w:color w:val="000000" w:themeColor="text1"/>
                <w:sz w:val="24"/>
                <w:szCs w:val="24"/>
                <w:lang w:eastAsia="zh-CN"/>
                <w14:textFill>
                  <w14:solidFill>
                    <w14:schemeClr w14:val="tx1"/>
                  </w14:solidFill>
                </w14:textFill>
              </w:rPr>
              <w:t>）</w:t>
            </w:r>
          </w:p>
        </w:tc>
        <w:tc>
          <w:tcPr>
            <w:tcW w:w="3162" w:type="dxa"/>
            <w:tcBorders>
              <w:tl2br w:val="nil"/>
              <w:tr2bl w:val="nil"/>
            </w:tcBorders>
            <w:noWrap w:val="0"/>
            <w:vAlign w:val="center"/>
          </w:tcPr>
          <w:p w14:paraId="52C3A9C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区级总投资</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43.26亿元，</w:t>
            </w: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包含配合市级轨道交通重点项目拆迁项目2项，南部地区路网建设项目48项，中关村科学城北区路网及园区道路建设项目36项。</w:t>
            </w:r>
          </w:p>
        </w:tc>
        <w:tc>
          <w:tcPr>
            <w:tcW w:w="4111" w:type="dxa"/>
            <w:tcBorders>
              <w:tl2br w:val="nil"/>
              <w:tr2bl w:val="nil"/>
            </w:tcBorders>
            <w:noWrap w:val="0"/>
            <w:vAlign w:val="center"/>
          </w:tcPr>
          <w:p w14:paraId="4D85B9C2">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巨山路（杏石口路-闵庄路）道路工程、安宁庄路（站东街-安宁庄西路）道路工程如期完工。</w:t>
            </w:r>
          </w:p>
          <w:p w14:paraId="6A4CFF71">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left"/>
              <w:textAlignment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四道口路（北三环辅路-四道口北街）道路工程达到通车条件。</w:t>
            </w:r>
          </w:p>
        </w:tc>
      </w:tr>
    </w:tbl>
    <w:p w14:paraId="5EF4B1C4">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仿宋_GB2312" w:eastAsia="楷体_GB2312" w:cs="Times New Roman"/>
          <w:b w:val="0"/>
          <w:bCs/>
          <w:color w:val="000000" w:themeColor="text1"/>
          <w:spacing w:val="0"/>
          <w:w w:val="100"/>
          <w:sz w:val="32"/>
          <w:szCs w:val="32"/>
          <w:highlight w:val="none"/>
          <w:u w:val="none" w:color="auto"/>
          <w:lang w:val="en-US"/>
          <w14:textFill>
            <w14:solidFill>
              <w14:schemeClr w14:val="tx1"/>
            </w14:solidFill>
          </w14:textFill>
        </w:rPr>
      </w:pPr>
      <w:r>
        <w:rPr>
          <w:rFonts w:hint="eastAsia" w:ascii="仿宋_GB2312" w:hAnsi="仿宋_GB2312" w:eastAsia="仿宋_GB2312" w:cs="仿宋_GB2312"/>
          <w:b/>
          <w:bCs w:val="0"/>
          <w:color w:val="000000" w:themeColor="text1"/>
          <w:spacing w:val="0"/>
          <w:w w:val="100"/>
          <w:sz w:val="32"/>
          <w:szCs w:val="32"/>
          <w:highlight w:val="none"/>
          <w:u w:val="none" w:color="auto"/>
          <w:lang w:val="en-US" w:eastAsia="zh-CN"/>
          <w14:textFill>
            <w14:solidFill>
              <w14:schemeClr w14:val="tx1"/>
            </w14:solidFill>
          </w14:textFill>
        </w:rPr>
        <w:t>消费供给品质升级。</w:t>
      </w:r>
      <w:r>
        <w:rPr>
          <w:rFonts w:hint="eastAsia" w:ascii="仿宋_GB2312" w:hAnsi="仿宋_GB2312" w:eastAsia="仿宋_GB2312" w:cs="仿宋_GB2312"/>
          <w:b w:val="0"/>
          <w:bCs/>
          <w:color w:val="000000" w:themeColor="text1"/>
          <w:spacing w:val="0"/>
          <w:w w:val="100"/>
          <w:sz w:val="32"/>
          <w:szCs w:val="32"/>
          <w:highlight w:val="none"/>
          <w:u w:val="none" w:color="auto"/>
          <w:lang w:val="en-US" w:eastAsia="zh-CN"/>
          <w14:textFill>
            <w14:solidFill>
              <w14:schemeClr w14:val="tx1"/>
            </w14:solidFill>
          </w14:textFill>
        </w:rPr>
        <w:t>推进北京国际消费中心城市建设，</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做好顶层设计统筹，</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形成商圈高质量发展顶层设计与“一圈一策”研究方案。</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加速释放高品质消费空间，</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西北旺</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万象汇</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海淀大悦城正式开业。打造消费新地标，</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五棵松商圈</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成为</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北京市“夜京城”地标，</w:t>
      </w:r>
      <w:r>
        <w:rPr>
          <w:rFonts w:hint="eastAsia" w:ascii="仿宋_GB2312" w:hAnsi="Calibri" w:eastAsia="仿宋_GB2312" w:cs="Times New Roman"/>
          <w:bCs/>
          <w:color w:val="000000" w:themeColor="text1"/>
          <w:spacing w:val="0"/>
          <w:sz w:val="32"/>
          <w:szCs w:val="32"/>
          <w:highlight w:val="none"/>
          <w:u w:val="none" w:color="auto"/>
          <w14:textFill>
            <w14:solidFill>
              <w14:schemeClr w14:val="tx1"/>
            </w14:solidFill>
          </w14:textFill>
        </w:rPr>
        <w:t>中关村壹号商业广场、龙徽1910文化创意产业园</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以及</w:t>
      </w:r>
      <w:r>
        <w:rPr>
          <w:rFonts w:hint="eastAsia" w:ascii="仿宋_GB2312" w:hAnsi="Calibri" w:eastAsia="仿宋_GB2312" w:cs="Times New Roman"/>
          <w:bCs/>
          <w:color w:val="000000" w:themeColor="text1"/>
          <w:spacing w:val="0"/>
          <w:sz w:val="32"/>
          <w:szCs w:val="32"/>
          <w:highlight w:val="none"/>
          <w:u w:val="none" w:color="auto"/>
          <w14:textFill>
            <w14:solidFill>
              <w14:schemeClr w14:val="tx1"/>
            </w14:solidFill>
          </w14:textFill>
        </w:rPr>
        <w:t>卫星制造厂科技园区等七个商业中心成为北京市“夜京城”打卡地</w:t>
      </w:r>
      <w:r>
        <w:rPr>
          <w:rFonts w:hint="eastAsia" w:ascii="仿宋_GB2312" w:hAnsi="Calibri" w:eastAsia="仿宋_GB2312" w:cs="Times New Roman"/>
          <w:bCs/>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bCs w:val="0"/>
          <w:i w:val="0"/>
          <w:iCs w:val="0"/>
          <w:caps w:val="0"/>
          <w:color w:val="000000" w:themeColor="text1"/>
          <w:spacing w:val="0"/>
          <w:kern w:val="2"/>
          <w:sz w:val="32"/>
          <w:szCs w:val="32"/>
          <w:highlight w:val="none"/>
          <w:shd w:val="clear" w:color="auto" w:fill="FFFFFF"/>
          <w:lang w:val="en-US" w:eastAsia="zh-CN" w:bidi="ar-SA"/>
          <w14:textFill>
            <w14:solidFill>
              <w14:schemeClr w14:val="tx1"/>
            </w14:solidFill>
          </w14:textFill>
        </w:rPr>
        <w:t>开放运营长春健身园森林驿站、海淀公园无界咖啡等14处慢生活消费场景</w:t>
      </w:r>
      <w:r>
        <w:rPr>
          <w:rFonts w:hint="eastAsia" w:ascii="仿宋_GB2312" w:hAnsi="Calibri" w:eastAsia="仿宋_GB2312" w:cs="Times New Roman"/>
          <w:bCs/>
          <w:color w:val="000000" w:themeColor="text1"/>
          <w:spacing w:val="0"/>
          <w:sz w:val="32"/>
          <w:szCs w:val="32"/>
          <w:highlight w:val="none"/>
          <w:u w:val="none" w:color="auto"/>
          <w14:textFill>
            <w14:solidFill>
              <w14:schemeClr w14:val="tx1"/>
            </w14:solidFill>
          </w14:textFill>
        </w:rPr>
        <w:t>。深化消费品牌矩阵建设</w:t>
      </w:r>
      <w:r>
        <w:rPr>
          <w:rFonts w:hint="eastAsia" w:ascii="仿宋_GB2312" w:hAnsi="Calibri" w:eastAsia="仿宋_GB2312" w:cs="Times New Roman"/>
          <w:bCs/>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举办硬科技嘉年华</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一刻</w:t>
      </w:r>
      <w:r>
        <w:rPr>
          <w:rFonts w:hint="eastAsia" w:ascii="仿宋_GB2312" w:hAnsi="仿宋_GB2312" w:eastAsia="仿宋_GB2312" w:cs="仿宋_GB2312"/>
          <w:b w:val="0"/>
          <w:bCs w:val="0"/>
          <w:color w:val="000000" w:themeColor="text1"/>
          <w:spacing w:val="0"/>
          <w:sz w:val="32"/>
          <w:szCs w:val="32"/>
          <w:highlight w:val="none"/>
          <w:u w:val="none" w:color="auto"/>
          <w14:textFill>
            <w14:solidFill>
              <w14:schemeClr w14:val="tx1"/>
            </w14:solidFill>
          </w14:textFill>
        </w:rPr>
        <w:t>钟品质生活节</w:t>
      </w:r>
      <w:r>
        <w:rPr>
          <w:rFonts w:hint="eastAsia" w:ascii="仿宋_GB2312" w:hAnsi="仿宋_GB2312" w:eastAsia="仿宋_GB2312" w:cs="仿宋_GB2312"/>
          <w:b w:val="0"/>
          <w:bCs w:val="0"/>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14:textFill>
            <w14:solidFill>
              <w14:schemeClr w14:val="tx1"/>
            </w14:solidFill>
          </w14:textFill>
        </w:rPr>
        <w:t>中关村国际美食节</w:t>
      </w:r>
      <w:r>
        <w:rPr>
          <w:rFonts w:hint="eastAsia" w:ascii="仿宋_GB2312" w:hAnsi="仿宋_GB2312" w:eastAsia="仿宋_GB2312" w:cs="仿宋_GB2312"/>
          <w:b w:val="0"/>
          <w:bCs w:val="0"/>
          <w:color w:val="000000" w:themeColor="text1"/>
          <w:spacing w:val="0"/>
          <w:sz w:val="32"/>
          <w:szCs w:val="32"/>
          <w:highlight w:val="none"/>
          <w:u w:val="none" w:color="auto"/>
          <w:lang w:eastAsia="zh-CN"/>
          <w14:textFill>
            <w14:solidFill>
              <w14:schemeClr w14:val="tx1"/>
            </w14:solidFill>
          </w14:textFill>
        </w:rPr>
        <w:t>、中秋国庆金秋消费季</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等</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“北京消费季·悦动海淀”系列品牌活动</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发展首发经济，</w:t>
      </w:r>
      <w:r>
        <w:rPr>
          <w:rFonts w:hint="eastAsia" w:ascii="仿宋_GB2312" w:hAnsi="Calibri" w:eastAsia="仿宋_GB2312" w:cs="Times New Roman"/>
          <w:color w:val="000000" w:themeColor="text1"/>
          <w:spacing w:val="0"/>
          <w:sz w:val="32"/>
          <w:szCs w:val="32"/>
          <w:highlight w:val="none"/>
          <w:u w:val="none" w:color="auto"/>
          <w:lang w:eastAsia="zh-CN"/>
          <w14:textFill>
            <w14:solidFill>
              <w14:schemeClr w14:val="tx1"/>
            </w14:solidFill>
          </w14:textFill>
        </w:rPr>
        <w:t>全年</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共引入各类首店</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90</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家，累计开设离境免税商店</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92</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家。</w:t>
      </w:r>
    </w:p>
    <w:p w14:paraId="23C2F35D">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firstLine="640" w:firstLineChars="200"/>
        <w:jc w:val="both"/>
        <w:textAlignment w:val="auto"/>
        <w:outlineLvl w:val="1"/>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pPr>
      <w:r>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t>（二）</w:t>
      </w:r>
      <w:r>
        <w:rPr>
          <w:rFonts w:hint="eastAsia" w:ascii="楷体_GB2312" w:hAnsi="仿宋_GB2312" w:eastAsia="楷体_GB2312" w:cs="Times New Roman"/>
          <w:b w:val="0"/>
          <w:bCs/>
          <w:color w:val="000000" w:themeColor="text1"/>
          <w:spacing w:val="0"/>
          <w:w w:val="100"/>
          <w:sz w:val="32"/>
          <w:szCs w:val="32"/>
          <w:highlight w:val="none"/>
          <w:u w:val="none" w:color="auto"/>
          <w:lang w:val="en-US" w:eastAsia="zh-CN"/>
          <w14:textFill>
            <w14:solidFill>
              <w14:schemeClr w14:val="tx1"/>
            </w14:solidFill>
          </w14:textFill>
        </w:rPr>
        <w:t>坚持</w:t>
      </w:r>
      <w:r>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t>推动产学研用深度融合，畅通教育、科技、人才良性循环</w:t>
      </w:r>
    </w:p>
    <w:p w14:paraId="026C3B4F">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pPr>
      <w:r>
        <w:rPr>
          <w:rFonts w:hint="eastAsia" w:ascii="仿宋_GB2312" w:hAnsi="仿宋_GB2312" w:eastAsia="仿宋_GB2312" w:cs="Times New Roman"/>
          <w:b/>
          <w:bCs/>
          <w:color w:val="000000" w:themeColor="text1"/>
          <w:spacing w:val="0"/>
          <w:w w:val="100"/>
          <w:sz w:val="32"/>
          <w:szCs w:val="32"/>
          <w:highlight w:val="none"/>
          <w:u w:val="none" w:color="auto"/>
          <w:lang w:val="en-US" w:eastAsia="zh-CN"/>
          <w14:textFill>
            <w14:solidFill>
              <w14:schemeClr w14:val="tx1"/>
            </w14:solidFill>
          </w14:textFill>
        </w:rPr>
        <w:t>原始创新策源能力</w:t>
      </w:r>
      <w:r>
        <w:rPr>
          <w:rFonts w:hint="eastAsia" w:ascii="仿宋_GB2312" w:hAnsi="仿宋_GB2312" w:eastAsia="仿宋_GB2312" w:cs="Times New Roman"/>
          <w:b/>
          <w:bCs/>
          <w:color w:val="000000" w:themeColor="text1"/>
          <w:spacing w:val="0"/>
          <w:w w:val="100"/>
          <w:sz w:val="32"/>
          <w:szCs w:val="32"/>
          <w:highlight w:val="none"/>
          <w:u w:val="none" w:color="auto"/>
          <w14:textFill>
            <w14:solidFill>
              <w14:schemeClr w14:val="tx1"/>
            </w14:solidFill>
          </w14:textFill>
        </w:rPr>
        <w:t>强化</w:t>
      </w:r>
      <w:r>
        <w:rPr>
          <w:rFonts w:hint="eastAsia" w:ascii="仿宋_GB2312" w:hAnsi="仿宋_GB2312" w:eastAsia="仿宋_GB2312" w:cs="Times New Roman"/>
          <w:b/>
          <w:bCs/>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制定服务保障国家科技战略力量</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措施，服务国家实验室科研攻关</w:t>
      </w:r>
      <w:r>
        <w:rPr>
          <w:rFonts w:hint="eastAsia" w:ascii="仿宋_GB2312" w:hAnsi="仿宋_GB2312" w:eastAsia="仿宋_GB2312" w:cs="Times New Roman"/>
          <w:b w:val="0"/>
          <w:bCs w:val="0"/>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落地建设清华互联网体系结构、北大微纳电子器件与集成技术、矿大隧道工程灾变防控与智能建养等全国重点实验室</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支撑服务</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驻区高校</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“双一流”建设</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与</w:t>
      </w:r>
      <w:r>
        <w:rPr>
          <w:rFonts w:hint="eastAsia" w:ascii="仿宋_GB2312" w:hAnsi="仿宋_GB2312" w:eastAsia="仿宋_GB2312" w:cs="仿宋_GB2312"/>
          <w:color w:val="000000" w:themeColor="text1"/>
          <w:spacing w:val="0"/>
          <w:sz w:val="32"/>
          <w:szCs w:val="32"/>
          <w:highlight w:val="none"/>
          <w:u w:val="none" w:color="auto"/>
          <w:lang w:eastAsia="zh-CN" w:bidi="ar"/>
          <w14:textFill>
            <w14:solidFill>
              <w14:schemeClr w14:val="tx1"/>
            </w14:solidFill>
          </w14:textFill>
        </w:rPr>
        <w:t>清华、</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北大、人大、北航</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北理工</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等高校</w:t>
      </w:r>
      <w:r>
        <w:rPr>
          <w:rFonts w:hint="eastAsia" w:ascii="仿宋_GB2312" w:hAnsi="仿宋_GB2312" w:eastAsia="仿宋_GB2312" w:cs="仿宋_GB2312"/>
          <w:color w:val="000000" w:themeColor="text1"/>
          <w:spacing w:val="0"/>
          <w:sz w:val="32"/>
          <w:szCs w:val="32"/>
          <w:highlight w:val="none"/>
          <w:u w:val="none" w:color="auto"/>
          <w:lang w:val="en-US" w:eastAsia="zh-CN" w:bidi="ar"/>
          <w14:textFill>
            <w14:solidFill>
              <w14:schemeClr w14:val="tx1"/>
            </w14:solidFill>
          </w14:textFill>
        </w:rPr>
        <w:t>在人工智能、</w:t>
      </w:r>
      <w:r>
        <w:rPr>
          <w:rFonts w:hint="eastAsia" w:ascii="仿宋_GB2312" w:hAnsi="仿宋_GB2312" w:eastAsia="仿宋_GB2312" w:cs="仿宋_GB2312"/>
          <w:color w:val="000000" w:themeColor="text1"/>
          <w:spacing w:val="0"/>
          <w:sz w:val="32"/>
          <w:szCs w:val="32"/>
          <w:highlight w:val="none"/>
          <w:u w:val="none" w:color="auto"/>
          <w:lang w:eastAsia="zh-CN" w:bidi="ar"/>
          <w14:textFill>
            <w14:solidFill>
              <w14:schemeClr w14:val="tx1"/>
            </w14:solidFill>
          </w14:textFill>
        </w:rPr>
        <w:t>医学、</w:t>
      </w:r>
      <w:r>
        <w:rPr>
          <w:rFonts w:hint="eastAsia" w:ascii="仿宋_GB2312" w:hAnsi="仿宋_GB2312" w:eastAsia="仿宋_GB2312" w:cs="仿宋_GB2312"/>
          <w:color w:val="000000" w:themeColor="text1"/>
          <w:spacing w:val="0"/>
          <w:sz w:val="32"/>
          <w:szCs w:val="32"/>
          <w:highlight w:val="none"/>
          <w:u w:val="none" w:color="auto"/>
          <w:lang w:val="en-US" w:eastAsia="zh-CN" w:bidi="ar"/>
          <w14:textFill>
            <w14:solidFill>
              <w14:schemeClr w14:val="tx1"/>
            </w14:solidFill>
          </w14:textFill>
        </w:rPr>
        <w:t>国防动员等重要</w:t>
      </w:r>
      <w:r>
        <w:rPr>
          <w:rFonts w:hint="eastAsia" w:ascii="仿宋_GB2312" w:hAnsi="仿宋_GB2312" w:eastAsia="仿宋_GB2312" w:cs="仿宋_GB2312"/>
          <w:color w:val="000000" w:themeColor="text1"/>
          <w:spacing w:val="0"/>
          <w:sz w:val="32"/>
          <w:szCs w:val="32"/>
          <w:highlight w:val="none"/>
          <w:u w:val="none" w:color="auto"/>
          <w:lang w:eastAsia="zh-CN" w:bidi="ar"/>
          <w14:textFill>
            <w14:solidFill>
              <w14:schemeClr w14:val="tx1"/>
            </w14:solidFill>
          </w14:textFill>
        </w:rPr>
        <w:t>领域</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签署合作备忘录</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lang w:eastAsia="zh-CN" w:bidi="ar"/>
          <w14:textFill>
            <w14:solidFill>
              <w14:schemeClr w14:val="tx1"/>
            </w14:solidFill>
          </w14:textFill>
        </w:rPr>
        <w:t>充分发挥校地合作优势，</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推进</w:t>
      </w:r>
      <w:r>
        <w:rPr>
          <w:rFonts w:hint="eastAsia" w:ascii="仿宋_GB2312" w:hAnsi="仿宋_GB2312" w:eastAsia="仿宋_GB2312" w:cs="仿宋_GB2312"/>
          <w:color w:val="000000" w:themeColor="text1"/>
          <w:spacing w:val="0"/>
          <w:sz w:val="32"/>
          <w:szCs w:val="32"/>
          <w:highlight w:val="none"/>
          <w:u w:val="none" w:color="auto"/>
          <w:lang w:val="en-US" w:eastAsia="zh-CN" w:bidi="ar"/>
          <w14:textFill>
            <w14:solidFill>
              <w14:schemeClr w14:val="tx1"/>
            </w14:solidFill>
          </w14:textFill>
        </w:rPr>
        <w:t>高校学科建设和产业发展</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深度融合</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全球首个通用人工智能体“通通”、首款类脑互补视觉感知芯片“天眸芯”、</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国际上最大集成规模的光量子芯片</w:t>
      </w:r>
      <w:r>
        <w:rPr>
          <w:rFonts w:hint="eastAsia" w:ascii="仿宋_GB2312" w:hAnsi="仿宋_GB2312" w:eastAsia="仿宋_GB2312" w:cs="Times New Roman"/>
          <w:color w:val="000000" w:themeColor="text1"/>
          <w:spacing w:val="0"/>
          <w:sz w:val="32"/>
          <w:szCs w:val="32"/>
          <w14:textFill>
            <w14:solidFill>
              <w14:schemeClr w14:val="tx1"/>
            </w14:solidFill>
          </w14:textFill>
        </w:rPr>
        <w:t>、全球首款基于原子磁强计技术的无液氦脑磁图设备</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等原创性、颠覆性科技成果持续涌现</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，第三代“香山”</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RISC-V开源高性能处理器核性能水平进入全球第一梯队</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2023年度国家科学技术奖250个项目中，海淀驻区单位主持完成40项</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编制发布2024年海淀联合基金指南</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等线" w:eastAsia="仿宋_GB2312" w:cs="仿宋_GB2312"/>
          <w:color w:val="000000" w:themeColor="text1"/>
          <w:spacing w:val="0"/>
          <w:sz w:val="32"/>
          <w:szCs w:val="32"/>
          <w:highlight w:val="none"/>
          <w:u w:val="none" w:color="auto"/>
          <w:lang w:bidi="ar"/>
          <w14:textFill>
            <w14:solidFill>
              <w14:schemeClr w14:val="tx1"/>
            </w14:solidFill>
          </w14:textFill>
        </w:rPr>
        <w:t>基金</w:t>
      </w:r>
      <w:r>
        <w:rPr>
          <w:rFonts w:hint="eastAsia" w:ascii="仿宋_GB2312" w:hAnsi="等线" w:eastAsia="仿宋_GB2312" w:cs="仿宋_GB2312"/>
          <w:color w:val="000000" w:themeColor="text1"/>
          <w:spacing w:val="0"/>
          <w:sz w:val="32"/>
          <w:szCs w:val="32"/>
          <w:highlight w:val="none"/>
          <w:u w:val="none" w:color="auto"/>
          <w:lang w:eastAsia="zh-CN" w:bidi="ar"/>
          <w14:textFill>
            <w14:solidFill>
              <w14:schemeClr w14:val="tx1"/>
            </w14:solidFill>
          </w14:textFill>
        </w:rPr>
        <w:t>规模达</w:t>
      </w:r>
      <w:r>
        <w:rPr>
          <w:rFonts w:hint="eastAsia" w:ascii="仿宋_GB2312" w:hAnsi="等线" w:eastAsia="仿宋_GB2312" w:cs="仿宋_GB2312"/>
          <w:color w:val="000000" w:themeColor="text1"/>
          <w:spacing w:val="0"/>
          <w:sz w:val="32"/>
          <w:szCs w:val="32"/>
          <w:highlight w:val="none"/>
          <w:u w:val="none" w:color="auto"/>
          <w:lang w:val="en-US" w:eastAsia="zh-CN" w:bidi="ar"/>
          <w14:textFill>
            <w14:solidFill>
              <w14:schemeClr w14:val="tx1"/>
            </w14:solidFill>
          </w14:textFill>
        </w:rPr>
        <w:t>1亿元，2024年支</w:t>
      </w:r>
      <w:r>
        <w:rPr>
          <w:rFonts w:hint="eastAsia" w:ascii="仿宋_GB2312" w:hAnsi="仿宋_GB2312" w:eastAsia="仿宋_GB2312" w:cs="仿宋_GB2312"/>
          <w:b w:val="0"/>
          <w:bCs w:val="0"/>
          <w:color w:val="000000" w:themeColor="text1"/>
          <w:spacing w:val="0"/>
          <w:sz w:val="32"/>
          <w:szCs w:val="32"/>
          <w:highlight w:val="none"/>
          <w:u w:val="none" w:color="auto"/>
          <w:lang w:eastAsia="zh-CN"/>
          <w14:textFill>
            <w14:solidFill>
              <w14:schemeClr w14:val="tx1"/>
            </w14:solidFill>
          </w14:textFill>
        </w:rPr>
        <w:t>持项目</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168项、金额9790万元</w:t>
      </w:r>
      <w:r>
        <w:rPr>
          <w:rFonts w:hint="eastAsia" w:ascii="仿宋_GB2312" w:hAnsi="等线" w:eastAsia="仿宋_GB2312" w:cs="仿宋_GB2312"/>
          <w:color w:val="000000" w:themeColor="text1"/>
          <w:spacing w:val="0"/>
          <w:sz w:val="32"/>
          <w:szCs w:val="32"/>
          <w:highlight w:val="none"/>
          <w:u w:val="none" w:color="auto"/>
          <w:lang w:eastAsia="zh-CN" w:bidi="ar"/>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企业创新主体地位凸显，我区</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49家企业入围全国科技创新企业500强，居全市第一。</w:t>
      </w:r>
    </w:p>
    <w:p w14:paraId="3099907A">
      <w:pPr>
        <w:keepNext w:val="0"/>
        <w:keepLines w:val="0"/>
        <w:pageBreakBefore w:val="0"/>
        <w:widowControl w:val="0"/>
        <w:numPr>
          <w:ilvl w:val="0"/>
          <w:numId w:val="0"/>
        </w:numPr>
        <w:suppressAutoHyphens/>
        <w:kinsoku/>
        <w:wordWrap/>
        <w:overflowPunct w:val="0"/>
        <w:topLinePunct w:val="0"/>
        <w:autoSpaceDE/>
        <w:autoSpaceDN/>
        <w:bidi w:val="0"/>
        <w:adjustRightInd/>
        <w:snapToGrid/>
        <w:spacing w:line="560" w:lineRule="exact"/>
        <w:ind w:leftChars="0" w:firstLine="643" w:firstLineChars="200"/>
        <w:jc w:val="both"/>
        <w:textAlignment w:val="auto"/>
        <w:outlineLvl w:val="9"/>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pPr>
      <w:r>
        <w:rPr>
          <w:rFonts w:hint="eastAsia" w:ascii="仿宋_GB2312" w:hAnsi="仿宋_GB2312" w:eastAsia="仿宋_GB2312" w:cs="Times New Roman"/>
          <w:b/>
          <w:bCs w:val="0"/>
          <w:color w:val="000000" w:themeColor="text1"/>
          <w:spacing w:val="0"/>
          <w:w w:val="100"/>
          <w:sz w:val="32"/>
          <w:szCs w:val="32"/>
          <w:highlight w:val="none"/>
          <w:u w:val="none" w:color="auto"/>
          <w:lang w:val="en-US" w:eastAsia="zh-CN"/>
          <w14:textFill>
            <w14:solidFill>
              <w14:schemeClr w14:val="tx1"/>
            </w14:solidFill>
          </w14:textFill>
        </w:rPr>
        <w:t>精心育才精准聚才成果丰硕。</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制定海淀区建设人工智能人才特区若干措施，形成20条特色举措。细化海淀区科技创新人才发展支持办法，进一步完善人才梯次认定支持体系。组建海淀区“星海”荐才智库，创新实施以才引才、以才荐才的举荐制度，构建行业全覆盖、结构合理的高水平队伍。打造全球创新服务网络建设示范区，举办北京国际青年创新发展论坛。召开人才工作会议暨第五届“智汇·海淀”人才主题周系列活动，举办50余场周中活动，覆盖科研院所、企业近250家，共8万余人。</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加大</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人才引进力度，专项保障初创期大模型企业快速聚才，抢抓发展先机。开展博士后园区分站设站工作，累计进出站博士后</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138</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人，出站博士后留海淀发展比例</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达80</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Times New Roman"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组织</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人工智能、商业航天等领域企业创始人、</w:t>
      </w:r>
      <w:r>
        <w:rPr>
          <w:rFonts w:hint="eastAsia" w:ascii="仿宋_GB2312" w:hAnsi="Times New Roman" w:eastAsia="仿宋_GB2312" w:cs="Times New Roman"/>
          <w:color w:val="000000" w:themeColor="text1"/>
          <w:spacing w:val="0"/>
          <w:w w:val="100"/>
          <w:sz w:val="32"/>
          <w:szCs w:val="32"/>
          <w:highlight w:val="none"/>
          <w:u w:val="none" w:color="auto"/>
          <w14:textFill>
            <w14:solidFill>
              <w14:schemeClr w14:val="tx1"/>
            </w14:solidFill>
          </w14:textFill>
        </w:rPr>
        <w:t>园区重点企业负责人、科研服务机构代表参</w:t>
      </w:r>
      <w:r>
        <w:rPr>
          <w:rFonts w:hint="eastAsia" w:ascii="仿宋_GB2312" w:hAnsi="Times New Roman"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加</w:t>
      </w:r>
      <w:r>
        <w:rPr>
          <w:rFonts w:hint="eastAsia" w:ascii="仿宋_GB2312" w:hAnsi="Times New Roman" w:eastAsia="仿宋_GB2312" w:cs="Times New Roman"/>
          <w:color w:val="000000" w:themeColor="text1"/>
          <w:spacing w:val="0"/>
          <w:w w:val="100"/>
          <w:sz w:val="32"/>
          <w:szCs w:val="32"/>
          <w:highlight w:val="none"/>
          <w:u w:val="none" w:color="auto"/>
          <w14:textFill>
            <w14:solidFill>
              <w14:schemeClr w14:val="tx1"/>
            </w14:solidFill>
          </w14:textFill>
        </w:rPr>
        <w:t>“海LINK”</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“薪火共燃”</w:t>
      </w:r>
      <w:r>
        <w:rPr>
          <w:rFonts w:hint="eastAsia" w:ascii="仿宋_GB2312" w:hAnsi="Times New Roman" w:eastAsia="仿宋_GB2312" w:cs="Times New Roman"/>
          <w:color w:val="000000" w:themeColor="text1"/>
          <w:spacing w:val="0"/>
          <w:w w:val="100"/>
          <w:sz w:val="32"/>
          <w:szCs w:val="32"/>
          <w:highlight w:val="none"/>
          <w:u w:val="none" w:color="auto"/>
          <w14:textFill>
            <w14:solidFill>
              <w14:schemeClr w14:val="tx1"/>
            </w14:solidFill>
          </w14:textFill>
        </w:rPr>
        <w:t>实训计划</w:t>
      </w:r>
      <w:r>
        <w:rPr>
          <w:rFonts w:hint="eastAsia" w:ascii="仿宋_GB2312" w:hAnsi="Times New Roman"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人工智能、集成电路等重点领域优秀人才正高级职称评审</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当年通过人数占</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全市</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近半</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w:t>
      </w:r>
    </w:p>
    <w:p w14:paraId="41763B4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pPr>
      <w:r>
        <w:rPr>
          <w:rFonts w:hint="eastAsia" w:ascii="仿宋_GB2312" w:hAnsi="仿宋_GB2312" w:eastAsia="仿宋_GB2312" w:cs="Times New Roman"/>
          <w:b/>
          <w:bCs w:val="0"/>
          <w:color w:val="000000" w:themeColor="text1"/>
          <w:spacing w:val="0"/>
          <w:w w:val="100"/>
          <w:sz w:val="32"/>
          <w:szCs w:val="32"/>
          <w:highlight w:val="none"/>
          <w:u w:val="none" w:color="auto"/>
          <w:lang w:val="en-US" w:eastAsia="zh-CN"/>
          <w14:textFill>
            <w14:solidFill>
              <w14:schemeClr w14:val="tx1"/>
            </w14:solidFill>
          </w14:textFill>
        </w:rPr>
        <w:t>创新驱动发展战略有效落地。</w:t>
      </w:r>
      <w:r>
        <w:rPr>
          <w:rFonts w:hint="eastAsia" w:ascii="仿宋_GB2312" w:hAnsi="仿宋_GB2312" w:eastAsia="仿宋_GB2312" w:cs="Times New Roman"/>
          <w:bCs/>
          <w:color w:val="000000" w:themeColor="text1"/>
          <w:spacing w:val="0"/>
          <w:w w:val="100"/>
          <w:sz w:val="32"/>
          <w:szCs w:val="32"/>
          <w:highlight w:val="none"/>
          <w:u w:val="none" w:color="auto"/>
          <w14:textFill>
            <w14:solidFill>
              <w14:schemeClr w14:val="tx1"/>
            </w14:solidFill>
          </w14:textFill>
        </w:rPr>
        <w:t>围绕人工智能、医药健康等研提8条先行先试改革措施建议</w:t>
      </w:r>
      <w:r>
        <w:rPr>
          <w:rFonts w:hint="eastAsia" w:ascii="仿宋_GB2312" w:hAnsi="仿宋_GB2312" w:eastAsia="仿宋_GB2312" w:cs="Times New Roman"/>
          <w:bCs/>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发布创新平台15条、科技中小企业15条，</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加大政策支持力度。</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完善全要素创新服务体系</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建设中关村科学城国际创新服务集聚区</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，首批签约</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机构10家、入驻企业5家</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进一步启动创业大街、科服公司招商服务站，跟踪50余个高精尖产业项目，完成20个项目落地</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lang w:val="en"/>
          <w14:textFill>
            <w14:solidFill>
              <w14:schemeClr w14:val="tx1"/>
            </w14:solidFill>
          </w14:textFill>
        </w:rPr>
        <w:t>发布</w:t>
      </w:r>
      <w:r>
        <w:rPr>
          <w:rFonts w:hint="default"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中关村科学城科技成长二期基金，规模50亿元，基金总规模扩充至100亿；</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举办投资品牌活动“投海听韬”沙龙16期</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。加强与重点孵化器深度合作，落地海淀企业73家，投资44家，协助获得融资9.09亿。</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推动北邮、北科大、北大口腔医院概念验证中心建设，北航、清华、北医三院等5个概念验证中心新立概念验证项目33个，累计落地转化69个。强化产业空间供给，新增国际医谷、中关村综保区一期等产业空间115.5万平方米，</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永丰加速器一期、鼎好电子大厦B座等14.7万平方米</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完成</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改造。</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加大知识产权保护力度，获批启动全市唯一的国家知识产权保护示范区建设，新增6个知识产权公共服务工作站</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，发行新一期知识产权证券化产品，全区发明专利授权量4.6万件，占全市44.8%，PCT专利申请量4470件，占全市47%</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。每万人口高价值发明专利拥有量超500件，居全市首位。</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海淀区共有国家级专精特新“小巨人”企业</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398</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家，占全市</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38.5</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%，专精特新中小企业</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2688</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家，占全市</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27.5</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w:t>
      </w:r>
    </w:p>
    <w:p w14:paraId="0EA7D32C">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Calibri" w:hAnsi="Calibri" w:eastAsia="仿宋_GB2312" w:cs="Times New Roman"/>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Times New Roman"/>
          <w:b/>
          <w:bCs/>
          <w:color w:val="000000" w:themeColor="text1"/>
          <w:spacing w:val="0"/>
          <w:sz w:val="32"/>
          <w:szCs w:val="32"/>
          <w:highlight w:val="none"/>
          <w:u w:val="none" w:color="auto"/>
          <w:lang w:eastAsia="zh-CN"/>
          <w14:textFill>
            <w14:solidFill>
              <w14:schemeClr w14:val="tx1"/>
            </w14:solidFill>
          </w14:textFill>
        </w:rPr>
        <w:t>科技金融服务能级不断提高。</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与驻区19家存管银行建立政银协调机制，</w:t>
      </w:r>
      <w:r>
        <w:rPr>
          <w:rFonts w:hint="eastAsia" w:ascii="仿宋_GB2312" w:hAnsi="Calibri"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已纳入资金监管系统的各类机构793家</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。中关村科创金融服务中心</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全年</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受理信贷业务</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115</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笔、</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金额21.3</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亿元，其中科技人才贷、认股权贷、并购贷3项创新业务</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66</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笔、</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12.1</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亿元；联合中国诚通发起设立百亿级科创投资基金，持续扩大长期资本供给。支持北股交开展私募基金份额转让试点，拓宽基金退出渠道，累计交易完成</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65</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单，交易金额</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47.09</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亿元。</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科创</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企业获得股权融资</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291</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起，披露融资额</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超719</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亿元。新增上市企业</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9</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家，全区上市企业总数达</w:t>
      </w:r>
      <w:r>
        <w:rPr>
          <w:rFonts w:hint="eastAsia" w:ascii="仿宋_GB2312" w:hAnsi="仿宋_GB2312" w:eastAsia="仿宋_GB2312" w:cs="Times New Roman"/>
          <w:color w:val="000000" w:themeColor="text1"/>
          <w:spacing w:val="0"/>
          <w:sz w:val="32"/>
          <w:szCs w:val="32"/>
          <w:highlight w:val="none"/>
          <w:u w:val="none" w:color="auto"/>
          <w:lang w:val="en-US" w:eastAsia="zh-CN"/>
          <w14:textFill>
            <w14:solidFill>
              <w14:schemeClr w14:val="tx1"/>
            </w14:solidFill>
          </w14:textFill>
        </w:rPr>
        <w:t>263</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家。</w:t>
      </w:r>
    </w:p>
    <w:p w14:paraId="0A6127FA">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firstLine="640" w:firstLineChars="200"/>
        <w:jc w:val="both"/>
        <w:textAlignment w:val="auto"/>
        <w:outlineLvl w:val="1"/>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pPr>
      <w:r>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t>（三）坚持以新时代首都发展为引领，打造宜居、韧性、智慧城市</w:t>
      </w:r>
    </w:p>
    <w:p w14:paraId="2B97C592">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firstLine="643" w:firstLineChars="200"/>
        <w:jc w:val="both"/>
        <w:textAlignment w:val="auto"/>
        <w:outlineLvl w:val="9"/>
        <w:rPr>
          <w:rFonts w:hint="eastAsia" w:ascii="Calibri" w:hAnsi="Calibri" w:eastAsia="仿宋_GB2312" w:cs="Times New Roman"/>
          <w:color w:val="000000" w:themeColor="text1"/>
          <w:spacing w:val="0"/>
          <w:sz w:val="32"/>
          <w:szCs w:val="32"/>
          <w:u w:val="none" w:color="auto"/>
          <w:lang w:val="en-US" w:eastAsia="zh-CN"/>
          <w14:textFill>
            <w14:solidFill>
              <w14:schemeClr w14:val="tx1"/>
            </w14:solidFill>
          </w14:textFill>
        </w:rPr>
      </w:pPr>
      <w:r>
        <w:rPr>
          <w:rFonts w:hint="eastAsia" w:ascii="仿宋_GB2312" w:hAnsi="Courier New" w:eastAsia="仿宋_GB2312" w:cs="Times New Roman"/>
          <w:b/>
          <w:bCs/>
          <w:color w:val="000000" w:themeColor="text1"/>
          <w:spacing w:val="0"/>
          <w:w w:val="100"/>
          <w:kern w:val="2"/>
          <w:sz w:val="32"/>
          <w:szCs w:val="32"/>
          <w:highlight w:val="none"/>
          <w:u w:val="none" w:color="auto"/>
          <w:lang w:val="en-US" w:eastAsia="zh-CN" w:bidi="ar-SA"/>
          <w14:textFill>
            <w14:solidFill>
              <w14:schemeClr w14:val="tx1"/>
            </w14:solidFill>
          </w14:textFill>
        </w:rPr>
        <w:t>“四个服务”和区域协同发展水平显著提高。</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服务保障</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2024</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中关村论坛顺利举办</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论坛发布研究成果、标准规范、榜单指数倡议近100项成果，促成300余个项目签约，签约金额达673亿元</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办好首次“人工智能主题日”活动，形成重磅成果40余项。</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圆满完成全国“两会”、全国公安工作会议等重大安保活动</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京津冀协同领域不断突破，</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“京津冀协同社保帮办窗口”在海淀正式挂牌运行，为三地企业群众提供11项公共服务；</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推动京津冀三地共建“机器人+”产业园</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楷体_GB2312" w:eastAsia="仿宋_GB2312" w:cs="楷体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“新两翼”建设加力推进，</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支持中关村三小雄安雄东实验学校、北京市六一幼儿院雄安雄东分院建设，</w:t>
      </w:r>
      <w:r>
        <w:rPr>
          <w:rFonts w:hint="eastAsia" w:ascii="Times New Roman" w:hAnsi="Times New Roman" w:eastAsia="仿宋_GB2312" w:cs="Times New Roman"/>
          <w:color w:val="000000" w:themeColor="text1"/>
          <w:spacing w:val="0"/>
          <w:sz w:val="32"/>
          <w:szCs w:val="32"/>
          <w:highlight w:val="none"/>
          <w:u w:val="none" w:color="auto"/>
          <w14:textFill>
            <w14:solidFill>
              <w14:schemeClr w14:val="tx1"/>
            </w14:solidFill>
          </w14:textFill>
        </w:rPr>
        <w:t>支持千方科技与雄安新区成立合资公司</w:t>
      </w:r>
      <w:r>
        <w:rPr>
          <w:rFonts w:hint="eastAsia" w:ascii="Times New Roman" w:hAnsi="Times New Roman" w:eastAsia="仿宋_GB2312" w:cs="Times New Roman"/>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支持中关村科技企业家协会与张家湾设计小镇达成战略合作，帮助张家湾设计小镇打造“类中关村”的创业孵化氛围，</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推动5个优质项目落地副中心。</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开启京蒙协作新篇章，科右中旗干豆角产业帮扶成果入选全球最佳减贫案例。</w:t>
      </w:r>
    </w:p>
    <w:p w14:paraId="44C83E8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Calibri" w:hAnsi="Calibri" w:eastAsia="仿宋_GB2312" w:cs="Times New Roman"/>
          <w:color w:val="000000" w:themeColor="text1"/>
          <w:spacing w:val="0"/>
          <w:sz w:val="32"/>
          <w:szCs w:val="32"/>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规划落地速度稳中有升。</w:t>
      </w:r>
      <w:r>
        <w:rPr>
          <w:rFonts w:hint="eastAsia" w:ascii="仿宋_GB2312" w:hAnsi="仿宋" w:eastAsia="仿宋_GB2312" w:cs="Times New Roman"/>
          <w:color w:val="000000" w:themeColor="text1"/>
          <w:spacing w:val="0"/>
          <w:sz w:val="32"/>
          <w:szCs w:val="32"/>
          <w:highlight w:val="none"/>
          <w:u w:val="none" w:color="auto"/>
          <w:lang w:val="zh-CN"/>
          <w14:textFill>
            <w14:solidFill>
              <w14:schemeClr w14:val="tx1"/>
            </w14:solidFill>
          </w14:textFill>
        </w:rPr>
        <w:t>落实三山五园地区整体保护规划，</w:t>
      </w:r>
      <w:r>
        <w:rPr>
          <w:rFonts w:hint="eastAsia" w:ascii="仿宋_GB2312" w:hAnsi="仿宋" w:eastAsia="仿宋_GB2312" w:cs="Times New Roman"/>
          <w:b w:val="0"/>
          <w:bCs w:val="0"/>
          <w:color w:val="000000" w:themeColor="text1"/>
          <w:spacing w:val="0"/>
          <w:w w:val="100"/>
          <w:sz w:val="32"/>
          <w:szCs w:val="32"/>
          <w:highlight w:val="none"/>
          <w:u w:val="none" w:color="auto"/>
          <w:lang w:val="zh-CN"/>
          <w14:textFill>
            <w14:solidFill>
              <w14:schemeClr w14:val="tx1"/>
            </w14:solidFill>
          </w14:textFill>
        </w:rPr>
        <w:t>编制实施三山五园地区整体提升三年行动计划，完成</w:t>
      </w:r>
      <w:r>
        <w:rPr>
          <w:rFonts w:hint="eastAsia" w:ascii="仿宋_GB2312" w:hAnsi="仿宋" w:eastAsia="仿宋_GB2312" w:cs="Times New Roman"/>
          <w:b w:val="0"/>
          <w:bCs w:val="0"/>
          <w:color w:val="000000" w:themeColor="text1"/>
          <w:spacing w:val="0"/>
          <w:w w:val="100"/>
          <w:sz w:val="32"/>
          <w:szCs w:val="32"/>
          <w:highlight w:val="none"/>
          <w:u w:val="none" w:color="auto"/>
          <w:lang w:val="en-US" w:eastAsia="zh-CN"/>
          <w14:textFill>
            <w14:solidFill>
              <w14:schemeClr w14:val="tx1"/>
            </w14:solidFill>
          </w14:textFill>
        </w:rPr>
        <w:t>任务</w:t>
      </w:r>
      <w:r>
        <w:rPr>
          <w:rFonts w:hint="eastAsia" w:ascii="仿宋_GB2312" w:hAnsi="仿宋" w:eastAsia="仿宋_GB2312" w:cs="Times New Roman"/>
          <w:b w:val="0"/>
          <w:bCs w:val="0"/>
          <w:color w:val="000000" w:themeColor="text1"/>
          <w:spacing w:val="0"/>
          <w:w w:val="100"/>
          <w:sz w:val="32"/>
          <w:szCs w:val="32"/>
          <w:highlight w:val="none"/>
          <w:u w:val="none" w:color="auto"/>
          <w:lang w:val="zh-CN"/>
          <w14:textFill>
            <w14:solidFill>
              <w14:schemeClr w14:val="tx1"/>
            </w14:solidFill>
          </w14:textFill>
        </w:rPr>
        <w:t>33项，</w:t>
      </w:r>
      <w:r>
        <w:rPr>
          <w:rFonts w:hint="eastAsia" w:ascii="仿宋_GB2312" w:hAnsi="仿宋" w:eastAsia="仿宋_GB2312" w:cs="Times New Roman"/>
          <w:color w:val="000000" w:themeColor="text1"/>
          <w:spacing w:val="0"/>
          <w:sz w:val="32"/>
          <w:szCs w:val="32"/>
          <w:highlight w:val="none"/>
          <w:u w:val="none" w:color="auto"/>
          <w:lang w:val="zh-CN"/>
          <w14:textFill>
            <w14:solidFill>
              <w14:schemeClr w14:val="tx1"/>
            </w14:solidFill>
          </w14:textFill>
        </w:rPr>
        <w:t>中关村国际创新中心建成投用，三山五园文化艺术中心</w:t>
      </w:r>
      <w:r>
        <w:rPr>
          <w:rFonts w:hint="eastAsia" w:ascii="仿宋_GB2312" w:hAnsi="仿宋" w:eastAsia="仿宋_GB2312" w:cs="Times New Roman"/>
          <w:color w:val="000000" w:themeColor="text1"/>
          <w:spacing w:val="0"/>
          <w:sz w:val="32"/>
          <w:szCs w:val="32"/>
          <w:highlight w:val="none"/>
          <w:u w:val="none" w:color="auto"/>
          <w:lang w:val="en-US" w:eastAsia="zh-CN"/>
          <w14:textFill>
            <w14:solidFill>
              <w14:schemeClr w14:val="tx1"/>
            </w14:solidFill>
          </w14:textFill>
        </w:rPr>
        <w:t>开放运营，</w:t>
      </w:r>
      <w:r>
        <w:rPr>
          <w:rFonts w:hint="eastAsia" w:ascii="仿宋_GB2312" w:hAnsi="仿宋" w:eastAsia="仿宋_GB2312" w:cs="Times New Roman"/>
          <w:b w:val="0"/>
          <w:bCs w:val="0"/>
          <w:color w:val="000000" w:themeColor="text1"/>
          <w:spacing w:val="0"/>
          <w:w w:val="100"/>
          <w:sz w:val="32"/>
          <w:szCs w:val="32"/>
          <w:highlight w:val="none"/>
          <w:u w:val="none" w:color="auto"/>
          <w:lang w:val="zh-CN"/>
          <w14:textFill>
            <w14:solidFill>
              <w14:schemeClr w14:val="tx1"/>
            </w14:solidFill>
          </w14:textFill>
        </w:rPr>
        <w:t>“畅春新园”科技文化集聚区初具雏形</w:t>
      </w:r>
      <w:r>
        <w:rPr>
          <w:rFonts w:hint="eastAsia" w:ascii="Calibri" w:hAnsi="仿宋" w:eastAsia="仿宋_GB2312" w:cs="Times New Roman"/>
          <w:color w:val="000000" w:themeColor="text1"/>
          <w:spacing w:val="0"/>
          <w:sz w:val="32"/>
          <w:szCs w:val="32"/>
          <w:highlight w:val="none"/>
          <w:u w:val="none" w:color="auto"/>
          <w:lang w:val="zh-CN"/>
          <w14:textFill>
            <w14:solidFill>
              <w14:schemeClr w14:val="tx1"/>
            </w14:solidFill>
          </w14:textFill>
        </w:rPr>
        <w:t>。</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做好</w:t>
      </w:r>
      <w:r>
        <w:rPr>
          <w:rFonts w:hint="eastAsia" w:ascii="仿宋_GB2312" w:hAnsi="Calibri" w:eastAsia="仿宋_GB2312" w:cs="Times New Roman"/>
          <w:b w:val="0"/>
          <w:bCs w:val="0"/>
          <w:color w:val="000000" w:themeColor="text1"/>
          <w:spacing w:val="0"/>
          <w:sz w:val="32"/>
          <w:szCs w:val="32"/>
          <w:highlight w:val="none"/>
          <w:u w:val="none" w:color="auto"/>
          <w:lang w:val="en-US" w:eastAsia="zh-CN"/>
          <w14:textFill>
            <w14:solidFill>
              <w14:schemeClr w14:val="tx1"/>
            </w14:solidFill>
          </w14:textFill>
        </w:rPr>
        <w:t>香山规划综合实施方案与国家植物园建设方案衔接，</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统筹村庄搬迁腾退及香山地区交通问题，拆违11万余平方米。</w:t>
      </w:r>
      <w:r>
        <w:rPr>
          <w:rFonts w:hint="eastAsia" w:ascii="仿宋_GB2312" w:hAnsi="仿宋" w:eastAsia="仿宋_GB2312" w:cs="Times New Roman"/>
          <w:b w:val="0"/>
          <w:bCs w:val="0"/>
          <w:color w:val="000000" w:themeColor="text1"/>
          <w:spacing w:val="0"/>
          <w:w w:val="100"/>
          <w:sz w:val="32"/>
          <w:szCs w:val="32"/>
          <w:highlight w:val="none"/>
          <w:u w:val="none" w:color="auto"/>
          <w:lang w:val="zh-CN"/>
          <w14:textFill>
            <w14:solidFill>
              <w14:schemeClr w14:val="tx1"/>
            </w14:solidFill>
          </w14:textFill>
        </w:rPr>
        <w:t>推动空间规划有序落地</w:t>
      </w:r>
      <w:r>
        <w:rPr>
          <w:rFonts w:hint="eastAsia" w:ascii="仿宋_GB2312" w:hAnsi="仿宋" w:eastAsia="仿宋_GB2312" w:cs="Times New Roman"/>
          <w:b w:val="0"/>
          <w:bCs w:val="0"/>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上庄镇0205街区控规获批，中关村科学城北区0116等7个街区控规进入市级审查阶段</w:t>
      </w:r>
      <w:r>
        <w:rPr>
          <w:rFonts w:hint="eastAsia" w:ascii="仿宋_GB2312" w:hAnsi="仿宋" w:eastAsia="仿宋_GB2312" w:cs="楷体"/>
          <w:bCs/>
          <w:color w:val="000000" w:themeColor="text1"/>
          <w:spacing w:val="0"/>
          <w:w w:val="100"/>
          <w:kern w:val="0"/>
          <w:sz w:val="32"/>
          <w:szCs w:val="32"/>
          <w:highlight w:val="none"/>
          <w:u w:val="none" w:color="auto"/>
          <w:lang w:val="en-US" w:eastAsia="zh-CN" w:bidi="ar"/>
          <w14:textFill>
            <w14:solidFill>
              <w14:schemeClr w14:val="tx1"/>
            </w14:solidFill>
          </w14:textFill>
        </w:rPr>
        <w:t>，</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启动生态复合街区控规编制工作。</w:t>
      </w:r>
      <w:r>
        <w:rPr>
          <w:rFonts w:hint="eastAsia" w:ascii="仿宋_GB2312" w:hAnsi="Courier New" w:eastAsia="仿宋_GB2312" w:cs="Courier New"/>
          <w:color w:val="000000" w:themeColor="text1"/>
          <w:spacing w:val="0"/>
          <w:sz w:val="32"/>
          <w:szCs w:val="32"/>
          <w14:textFill>
            <w14:solidFill>
              <w14:schemeClr w14:val="tx1"/>
            </w14:solidFill>
          </w14:textFill>
        </w:rPr>
        <w:t>启动新一轮经济社会发展规划，谋划设置</w:t>
      </w:r>
      <w:r>
        <w:rPr>
          <w:rFonts w:hint="eastAsia" w:ascii="仿宋_GB2312" w:hAnsi="仿宋" w:eastAsia="仿宋_GB2312" w:cs="楷体"/>
          <w:bCs/>
          <w:color w:val="000000" w:themeColor="text1"/>
          <w:spacing w:val="0"/>
          <w:kern w:val="0"/>
          <w:sz w:val="32"/>
          <w:szCs w:val="32"/>
          <w:lang w:bidi="ar"/>
          <w14:textFill>
            <w14:solidFill>
              <w14:schemeClr w14:val="tx1"/>
            </w14:solidFill>
          </w14:textFill>
        </w:rPr>
        <w:t>“十五五”规划前期研究课题，制定海淀区“十五五”规划编制工作方案</w:t>
      </w:r>
      <w:r>
        <w:rPr>
          <w:rFonts w:hint="eastAsia" w:ascii="仿宋_GB2312" w:hAnsi="仿宋" w:eastAsia="仿宋_GB2312" w:cs="楷体"/>
          <w:bCs/>
          <w:color w:val="000000" w:themeColor="text1"/>
          <w:spacing w:val="0"/>
          <w:kern w:val="0"/>
          <w:sz w:val="32"/>
          <w:szCs w:val="32"/>
          <w:lang w:eastAsia="zh-CN" w:bidi="ar"/>
          <w14:textFill>
            <w14:solidFill>
              <w14:schemeClr w14:val="tx1"/>
            </w14:solidFill>
          </w14:textFill>
        </w:rPr>
        <w:t>。</w:t>
      </w:r>
    </w:p>
    <w:p w14:paraId="7B3BF718">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城市功能品质持续升级。</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高标准推进城市化进程，完成4个村庄宅基地腾退，最后一个非保留村庄——冷泉村腾退工作基本完成。稳步推动小片平房改造，以城中村改造、公益类提升、保租房建设等模式启动实施94处，签约率超99%。朱房、西山、西冉田村、半壁店、树村等5个城中村改造项目均已取得立项手续，其中朱房二期项目为全市首个取得立项手续的城中村改造项目。制定高质量打造首都乡村振兴样板的实施意见，建立保留村综合治理“1+1+4”体系，撤销13个村委会建制，乡村全面振兴发展指数全市第一。实施北区开发建设，亮甲店九年一贯制学校于9月竣工办学，北部医疗中心于12月底交付，苏家坨中心医院基本完工。有序推进更新改造，</w:t>
      </w: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编制城市更新行动两年工作方案，全年推进五大类城市更新项目452个，涉及更新面积约1825.7万平方米</w:t>
      </w:r>
      <w:r>
        <w:rPr>
          <w:rFonts w:hint="eastAsia" w:ascii="仿宋_GB2312" w:hAnsi="仿宋_GB2312" w:eastAsia="仿宋_GB2312" w:cs="仿宋_GB2312"/>
          <w:b w:val="0"/>
          <w:bCs w:val="0"/>
          <w:color w:val="000000" w:themeColor="text1"/>
          <w:spacing w:val="0"/>
          <w:kern w:val="2"/>
          <w:sz w:val="32"/>
          <w:szCs w:val="32"/>
          <w:lang w:val="en-US" w:eastAsia="zh-CN" w:bidi="ar-SA"/>
          <w14:textFill>
            <w14:solidFill>
              <w14:schemeClr w14:val="tx1"/>
            </w14:solidFill>
          </w14:textFill>
        </w:rPr>
        <w:t>，西三旗新都片区、清河之洲、五棵松万达3个项目被评为“北京城市更新最佳实践”；</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田村半壁店59号养老服务中心项目完成改造，海星医药健康创新园主体结构完工，金隅工研生命创新中心已开工。</w:t>
      </w:r>
      <w:r>
        <w:rPr>
          <w:rFonts w:hint="eastAsia" w:ascii="仿宋_GB2312" w:hAnsi="仿宋_GB2312" w:eastAsia="仿宋_GB2312" w:cs="仿宋_GB2312"/>
          <w:i w:val="0"/>
          <w:iCs w:val="0"/>
          <w:caps w:val="0"/>
          <w:color w:val="000000" w:themeColor="text1"/>
          <w:spacing w:val="0"/>
          <w:sz w:val="32"/>
          <w:szCs w:val="32"/>
          <w:u w:val="none" w:color="auto"/>
          <w:shd w:val="clear" w:color="auto" w:fill="FFFFFF"/>
          <w:lang w:val="en-US" w:eastAsia="zh-CN"/>
          <w14:textFill>
            <w14:solidFill>
              <w14:schemeClr w14:val="tx1"/>
            </w14:solidFill>
          </w14:textFill>
        </w:rPr>
        <w:t>完成31个小区、21条道路海绵化改造工程和3处浅山区雨水利用工程。</w:t>
      </w:r>
    </w:p>
    <w:p w14:paraId="28BAF094">
      <w:pPr>
        <w:pStyle w:val="40"/>
        <w:keepNext w:val="0"/>
        <w:keepLines w:val="0"/>
        <w:pageBreakBefore w:val="0"/>
        <w:widowControl w:val="0"/>
        <w:kinsoku/>
        <w:wordWrap/>
        <w:overflowPunct w:val="0"/>
        <w:topLinePunct w:val="0"/>
        <w:autoSpaceDE/>
        <w:autoSpaceDN/>
        <w:bidi w:val="0"/>
        <w:adjustRightInd/>
        <w:snapToGrid/>
        <w:spacing w:after="0" w:line="540" w:lineRule="exact"/>
        <w:ind w:firstLine="643" w:firstLineChars="200"/>
        <w:jc w:val="both"/>
        <w:textAlignment w:val="auto"/>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pPr>
      <w:r>
        <w:rPr>
          <w:rFonts w:hint="eastAsia" w:ascii="Calibri" w:hAnsi="Calibri" w:eastAsia="仿宋_GB2312" w:cs="Times New Roman"/>
          <w:b/>
          <w:bCs/>
          <w:color w:val="000000" w:themeColor="text1"/>
          <w:spacing w:val="0"/>
          <w:w w:val="100"/>
          <w:kern w:val="2"/>
          <w:sz w:val="32"/>
          <w:szCs w:val="32"/>
          <w:highlight w:val="none"/>
          <w:u w:val="none" w:color="auto"/>
          <w:lang w:val="en-US" w:eastAsia="zh-CN" w:bidi="ar-SA"/>
          <w14:textFill>
            <w14:solidFill>
              <w14:schemeClr w14:val="tx1"/>
            </w14:solidFill>
          </w14:textFill>
        </w:rPr>
        <w:t>“疏解整治促提升”</w:t>
      </w:r>
      <w:r>
        <w:rPr>
          <w:rFonts w:hint="eastAsia" w:ascii="仿宋_GB2312" w:hAnsi="Courier New" w:eastAsia="仿宋_GB2312" w:cs="Courier New"/>
          <w:b/>
          <w:bCs/>
          <w:color w:val="000000" w:themeColor="text1"/>
          <w:spacing w:val="0"/>
          <w:w w:val="100"/>
          <w:kern w:val="2"/>
          <w:sz w:val="32"/>
          <w:szCs w:val="32"/>
          <w:highlight w:val="none"/>
          <w:u w:val="none" w:color="auto"/>
          <w:lang w:val="en-US" w:eastAsia="zh-CN" w:bidi="ar-SA"/>
          <w14:textFill>
            <w14:solidFill>
              <w14:schemeClr w14:val="tx1"/>
            </w14:solidFill>
          </w14:textFill>
        </w:rPr>
        <w:t>取得明显成效</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。全力推进“疏解整治促提升”专项行动，完成点位数4950个，进度 105.07%</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Courier New" w:eastAsia="仿宋_GB2312" w:cs="Courier New"/>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拆除违建</w:t>
      </w:r>
      <w:r>
        <w:rPr>
          <w:rFonts w:hint="default" w:ascii="仿宋_GB2312" w:hAnsi="Courier New" w:eastAsia="仿宋_GB2312" w:cs="Courier New"/>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125.</w:t>
      </w:r>
      <w:r>
        <w:rPr>
          <w:rFonts w:hint="eastAsia" w:ascii="仿宋_GB2312" w:hAnsi="Courier New" w:eastAsia="仿宋_GB2312" w:cs="Courier New"/>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19万平方米，腾退土地85.78公顷，</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Courier New" w:eastAsia="仿宋_GB2312" w:cs="Courier New"/>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基本无违法建设区”创建成果有效巩固。</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注重提升绿色获得感，</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实施留白增绿6.1公顷，实现90.43公顷苫盖面积揭网见绿</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、3座桥体绿化，</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城市家具精细化治理完成比例130%</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深入推进围挡治理工作，出台政府投资项目施工围挡设置指引，完成围挡治理89处。统筹推进地下空间整治和再利用，地下空间违规住人保持“动态清零”，提前完成全年92处人防工程恢复和再利用任务，其中4处被评为北京市“国防动员宣传教育基地”</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田村龙徽文化“艺”站等多处人防工程改造成为安全实用市民活动中心</w:t>
      </w:r>
      <w:r>
        <w:rPr>
          <w:rFonts w:hint="eastAsia" w:ascii="仿宋_GB2312" w:hAnsi="Courier New" w:eastAsia="仿宋_GB2312" w:cs="Courier New"/>
          <w:color w:val="000000" w:themeColor="text1"/>
          <w:spacing w:val="0"/>
          <w:w w:val="100"/>
          <w:kern w:val="2"/>
          <w:sz w:val="32"/>
          <w:szCs w:val="32"/>
          <w:highlight w:val="none"/>
          <w:u w:val="none" w:color="auto"/>
          <w:lang w:val="en-US" w:eastAsia="zh-CN" w:bidi="ar-SA"/>
          <w14:textFill>
            <w14:solidFill>
              <w14:schemeClr w14:val="tx1"/>
            </w14:solidFill>
          </w14:textFill>
        </w:rPr>
        <w:t>。持续提升便民服务，发布建设“一刻钟便民生活圈”三年行动方案，完成28个一刻钟便民生活圈建设。</w:t>
      </w:r>
    </w:p>
    <w:p w14:paraId="3616C1B4">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Calibri" w:hAnsi="Calibri" w:eastAsia="仿宋_GB2312" w:cs="Times New Roman"/>
          <w:color w:val="000000" w:themeColor="text1"/>
          <w:spacing w:val="0"/>
          <w:sz w:val="32"/>
          <w:szCs w:val="32"/>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highlight w:val="none"/>
          <w:u w:val="none" w:color="auto"/>
          <w:lang w:val="en-US" w:eastAsia="zh-CN"/>
          <w14:textFill>
            <w14:solidFill>
              <w14:schemeClr w14:val="tx1"/>
            </w14:solidFill>
          </w14:textFill>
        </w:rPr>
        <w:t>交通路网通达程度持续优化。</w:t>
      </w:r>
      <w:r>
        <w:rPr>
          <w:rFonts w:hint="eastAsia" w:ascii="仿宋_GB2312" w:hAnsi="仿宋_GB2312" w:eastAsia="仿宋_GB2312" w:cs="仿宋_GB2312"/>
          <w:b w:val="0"/>
          <w:bCs/>
          <w:color w:val="000000" w:themeColor="text1"/>
          <w:spacing w:val="0"/>
          <w:w w:val="100"/>
          <w:sz w:val="32"/>
          <w:szCs w:val="32"/>
          <w:highlight w:val="none"/>
          <w:u w:val="none" w:color="auto"/>
          <w:lang w:val="en-US" w:eastAsia="zh-CN"/>
          <w14:textFill>
            <w14:solidFill>
              <w14:schemeClr w14:val="tx1"/>
            </w14:solidFill>
          </w14:textFill>
        </w:rPr>
        <w:t>地铁12号线海淀段、昌平线南延一期剩余段正式开通。</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香山南路、四道口路等22条道路建成通车，新增通车里程10.1公里。出行条件改善，</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打通</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万寿庄跨永引桥、</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团城路、气象路、英润路、清河二街、朱房路6条“断头路”，完成38条道路共计45.7万平方米大中修工作，</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挖潜</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增设</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停车位7418个，新增错时共享停车位2575个，</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开展接养道路25条、代征道路用地14处。</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组织施划非机动车停放区1.8万余处，完成11处地铁一级站点周边停放秩序治理“一站一策”方案制</w:t>
      </w:r>
      <w:r>
        <w:rPr>
          <w:rFonts w:hint="eastAsia" w:ascii="仿宋_GB2312" w:hAnsi="Courier New" w:eastAsia="仿宋_GB2312" w:cs="Times New Roman"/>
          <w:color w:val="000000" w:themeColor="text1"/>
          <w:spacing w:val="-4"/>
          <w:w w:val="100"/>
          <w:kern w:val="2"/>
          <w:sz w:val="32"/>
          <w:szCs w:val="32"/>
          <w:highlight w:val="none"/>
          <w:u w:val="none" w:color="auto"/>
          <w:lang w:val="en-US" w:eastAsia="zh-CN" w:bidi="ar-SA"/>
          <w14:textFill>
            <w14:solidFill>
              <w14:schemeClr w14:val="tx1"/>
            </w14:solidFill>
          </w14:textFill>
        </w:rPr>
        <w:t>定。新增通学公交服务线路37条，服务学生和家长人数增加8</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倍。</w:t>
      </w:r>
    </w:p>
    <w:p w14:paraId="7053C62B">
      <w:pPr>
        <w:keepNext w:val="0"/>
        <w:keepLines w:val="0"/>
        <w:pageBreakBefore w:val="0"/>
        <w:widowControl w:val="0"/>
        <w:suppressAutoHyphens/>
        <w:kinsoku/>
        <w:wordWrap/>
        <w:overflowPunct w:val="0"/>
        <w:topLinePunct w:val="0"/>
        <w:autoSpaceDE/>
        <w:autoSpaceDN/>
        <w:bidi w:val="0"/>
        <w:adjustRightInd/>
        <w:snapToGrid/>
        <w:spacing w:line="540" w:lineRule="exact"/>
        <w:ind w:left="0" w:leftChars="0" w:firstLine="640" w:firstLineChars="200"/>
        <w:jc w:val="both"/>
        <w:textAlignment w:val="auto"/>
        <w:outlineLvl w:val="1"/>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pPr>
      <w:r>
        <w:rPr>
          <w:rFonts w:hint="eastAsia" w:ascii="楷体_GB2312" w:hAnsi="仿宋_GB2312" w:eastAsia="楷体_GB2312" w:cs="Times New Roman"/>
          <w:b w:val="0"/>
          <w:bCs/>
          <w:color w:val="000000" w:themeColor="text1"/>
          <w:spacing w:val="0"/>
          <w:w w:val="100"/>
          <w:sz w:val="32"/>
          <w:szCs w:val="32"/>
          <w:highlight w:val="none"/>
          <w:u w:val="none" w:color="auto"/>
          <w14:textFill>
            <w14:solidFill>
              <w14:schemeClr w14:val="tx1"/>
            </w14:solidFill>
          </w14:textFill>
        </w:rPr>
        <w:t>（四）坚持深化重点领域改革和扩大开放，进一步增强区域发展内生动力</w:t>
      </w:r>
    </w:p>
    <w:p w14:paraId="3EF1DCB6">
      <w:pPr>
        <w:keepNext w:val="0"/>
        <w:keepLines w:val="0"/>
        <w:pageBreakBefore w:val="0"/>
        <w:widowControl w:val="0"/>
        <w:numPr>
          <w:ilvl w:val="0"/>
          <w:numId w:val="0"/>
        </w:numPr>
        <w:kinsoku/>
        <w:wordWrap/>
        <w:overflowPunct w:val="0"/>
        <w:topLinePunct w:val="0"/>
        <w:autoSpaceDE/>
        <w:autoSpaceDN/>
        <w:bidi w:val="0"/>
        <w:adjustRightInd/>
        <w:snapToGrid/>
        <w:spacing w:line="540" w:lineRule="exact"/>
        <w:ind w:firstLine="643" w:firstLineChars="200"/>
        <w:jc w:val="both"/>
        <w:textAlignment w:val="auto"/>
        <w:rPr>
          <w:rFonts w:hint="eastAsia" w:ascii="Calibri" w:hAnsi="Calibri" w:eastAsia="仿宋_GB2312" w:cs="Times New Roman"/>
          <w:color w:val="000000" w:themeColor="text1"/>
          <w:spacing w:val="0"/>
          <w:sz w:val="32"/>
          <w:szCs w:val="32"/>
          <w:u w:val="none" w:color="auto"/>
          <w:lang w:val="en-US" w:eastAsia="zh-CN"/>
          <w14:textFill>
            <w14:solidFill>
              <w14:schemeClr w14:val="tx1"/>
            </w14:solidFill>
          </w14:textFill>
        </w:rPr>
      </w:pPr>
      <w:r>
        <w:rPr>
          <w:rFonts w:hint="eastAsia" w:ascii="仿宋_GB2312" w:hAnsi="仿宋" w:eastAsia="仿宋_GB2312" w:cs="Times New Roman"/>
          <w:b/>
          <w:bCs/>
          <w:color w:val="000000" w:themeColor="text1"/>
          <w:spacing w:val="0"/>
          <w:w w:val="100"/>
          <w:kern w:val="2"/>
          <w:sz w:val="32"/>
          <w:szCs w:val="32"/>
          <w:highlight w:val="none"/>
          <w:u w:val="none" w:color="auto"/>
          <w:lang w:val="en-US" w:eastAsia="zh-CN" w:bidi="ar-SA"/>
          <w14:textFill>
            <w14:solidFill>
              <w14:schemeClr w14:val="tx1"/>
            </w14:solidFill>
          </w14:textFill>
        </w:rPr>
        <w:t>“两区”建设全面升级。</w:t>
      </w:r>
      <w:r>
        <w:rPr>
          <w:rFonts w:hint="eastAsia" w:ascii="仿宋_GB2312" w:hAnsi="仿宋_GB2312"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深入实施自贸试验区提升战略，</w:t>
      </w:r>
      <w:r>
        <w:rPr>
          <w:rFonts w:hint="eastAsia" w:ascii="仿宋_GB2312" w:hAnsi="仿宋"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正</w:t>
      </w:r>
      <w:r>
        <w:rPr>
          <w:rFonts w:hint="eastAsia" w:ascii="仿宋_GB2312" w:hAnsi="Times New Roman"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式加入全国自贸片区创新联盟</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，科技创新片区海淀组团发展建设三年行动方案</w:t>
      </w:r>
      <w:r>
        <w:rPr>
          <w:rFonts w:hint="eastAsia" w:ascii="仿宋_GB2312" w:hAnsi="仿宋"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落地率已达80%。</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打造特色开放品牌，</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成功举办</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10期</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自贸会客厅专场活动</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积极</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对接国际高标准经贸规则，</w:t>
      </w:r>
      <w:r>
        <w:rPr>
          <w:rFonts w:hint="eastAsia" w:ascii="仿宋_GB2312" w:hAnsi="仿宋"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印发</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实施“两区”建设深化改革创新实施方案，</w:t>
      </w:r>
      <w:r>
        <w:rPr>
          <w:rFonts w:hint="eastAsia" w:ascii="仿宋_GB2312" w:hAnsi="仿宋_GB2312" w:eastAsia="仿宋_GB2312"/>
          <w:color w:val="000000" w:themeColor="text1"/>
          <w:sz w:val="32"/>
          <w:szCs w:val="32"/>
          <w14:textFill>
            <w14:solidFill>
              <w14:schemeClr w14:val="tx1"/>
            </w14:solidFill>
          </w14:textFill>
        </w:rPr>
        <w:t>80项任务均已落地。</w:t>
      </w:r>
      <w:r>
        <w:rPr>
          <w:rFonts w:hint="eastAsia" w:ascii="仿宋_GB2312" w:hAnsi="仿宋_GB2312"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开展“制度创新伴行计划”，以“小切口”推进制度创新。</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新增“两区”建设项目730个、</w:t>
      </w:r>
      <w:r>
        <w:rPr>
          <w:rFonts w:hint="default"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预计投入资金</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1005.2</w:t>
      </w:r>
      <w:r>
        <w:rPr>
          <w:rFonts w:hint="default"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亿元</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其中外资项目182个。</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全国首个以研发创新为特色的</w:t>
      </w:r>
      <w:r>
        <w:rPr>
          <w:rFonts w:hint="eastAsia" w:ascii="仿宋_GB2312" w:hAnsi="Courier New" w:eastAsia="仿宋_GB2312"/>
          <w:color w:val="000000" w:themeColor="text1"/>
          <w:sz w:val="32"/>
          <w:szCs w:val="32"/>
          <w14:textFill>
            <w14:solidFill>
              <w14:schemeClr w14:val="tx1"/>
            </w14:solidFill>
          </w14:textFill>
        </w:rPr>
        <w:t>中关村综合保税区</w:t>
      </w:r>
      <w:r>
        <w:rPr>
          <w:rFonts w:hint="eastAsia" w:ascii="仿宋_GB2312" w:hAnsi="Courier New"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正式封关运营</w:t>
      </w:r>
      <w:r>
        <w:rPr>
          <w:rFonts w:hint="eastAsia" w:ascii="仿宋_GB2312" w:hAnsi="仿宋"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u w:val="none" w:color="auto"/>
          <w:lang w:eastAsia="zh-CN"/>
          <w14:textFill>
            <w14:solidFill>
              <w14:schemeClr w14:val="tx1"/>
            </w14:solidFill>
          </w14:textFill>
        </w:rPr>
        <w:t>在全国率先探索“信息化围网”智慧监管模式</w:t>
      </w:r>
      <w:r>
        <w:rPr>
          <w:rFonts w:hint="eastAsia" w:ascii="仿宋_GB2312" w:hAnsi="仿宋"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接待马来西亚使馆、土耳其使馆、印度青年代表团等数十批次国外访团来访，推动MededHolding（中东财团机构）在海淀落地，组织企业出访迪拜、组团参加阿联酋GITEX展，</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助力企业“借展出海”</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发布香港创新加速计划</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Calibri" w:eastAsia="仿宋_GB2312" w:cs="仿宋_GB2312"/>
          <w:color w:val="000000" w:themeColor="text1"/>
          <w:spacing w:val="0"/>
          <w:sz w:val="32"/>
          <w:szCs w:val="32"/>
          <w:highlight w:val="none"/>
          <w:u w:val="none" w:color="auto"/>
          <w:lang w:val="en-US" w:eastAsia="zh-CN" w:bidi="ar"/>
          <w14:textFill>
            <w14:solidFill>
              <w14:schemeClr w14:val="tx1"/>
            </w14:solidFill>
          </w14:textFill>
        </w:rPr>
        <w:t>启动“中关村科学城马来西亚MRANTI科创合作平台”；筹办“环球商机”对接活动13场、“外交官走进科学城”系列活动2场。</w:t>
      </w:r>
      <w:r>
        <w:rPr>
          <w:rFonts w:hint="eastAsia" w:ascii="仿宋_GB2312" w:hAnsi="仿宋_GB2312" w:eastAsia="仿宋_GB2312" w:cs="仿宋_GB2312"/>
          <w:color w:val="000000" w:themeColor="text1"/>
          <w:spacing w:val="0"/>
          <w:w w:val="100"/>
          <w:kern w:val="2"/>
          <w:sz w:val="32"/>
          <w:szCs w:val="32"/>
          <w:highlight w:val="none"/>
          <w:u w:val="none" w:color="auto"/>
          <w:lang w:val="en-US" w:eastAsia="zh-CN" w:bidi="ar-SA"/>
          <w14:textFill>
            <w14:solidFill>
              <w14:schemeClr w14:val="tx1"/>
            </w14:solidFill>
          </w14:textFill>
        </w:rPr>
        <w:t>预计全年出口额为1438亿元，全市占比23%。</w:t>
      </w:r>
    </w:p>
    <w:p w14:paraId="71569F9C">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仿宋_GB2312" w:hAnsi="Calibri"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深化改革取得新进展。</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发布</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加快建设世界领先科技园区</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1+6</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方案</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u w:val="none" w:color="auto"/>
          <w14:textFill>
            <w14:solidFill>
              <w14:schemeClr w14:val="tx1"/>
            </w14:solidFill>
          </w14:textFill>
        </w:rPr>
        <w:t>分解形成196项具体目标任务</w:t>
      </w:r>
      <w:r>
        <w:rPr>
          <w:rFonts w:hint="eastAsia" w:ascii="仿宋_GB2312" w:hAnsi="仿宋_GB2312" w:eastAsia="仿宋_GB2312" w:cs="Times New Roman"/>
          <w:b w:val="0"/>
          <w:bCs w:val="0"/>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b w:val="0"/>
          <w:bCs w:val="0"/>
          <w:color w:val="000000" w:themeColor="text1"/>
          <w:spacing w:val="0"/>
          <w:sz w:val="32"/>
          <w:szCs w:val="32"/>
          <w:highlight w:val="none"/>
          <w:u w:val="none" w:color="auto"/>
          <w:lang w:val="en-US" w:eastAsia="zh-CN"/>
          <w14:textFill>
            <w14:solidFill>
              <w14:schemeClr w14:val="tx1"/>
            </w14:solidFill>
          </w14:textFill>
        </w:rPr>
        <w:t>机构改革圆满完成，重点领域机构设置和职能配置进一步调整优化。</w:t>
      </w:r>
      <w:r>
        <w:rPr>
          <w:rFonts w:hint="eastAsia" w:ascii="仿宋_GB2312" w:hAnsi="仿宋_GB2312" w:eastAsia="仿宋_GB2312" w:cs="Times New Roman"/>
          <w:color w:val="000000" w:themeColor="text1"/>
          <w:spacing w:val="0"/>
          <w:sz w:val="32"/>
          <w:szCs w:val="32"/>
          <w:highlight w:val="none"/>
          <w14:textFill>
            <w14:solidFill>
              <w14:schemeClr w14:val="tx1"/>
            </w14:solidFill>
          </w14:textFill>
        </w:rPr>
        <w:t>国资国企改革持续深化</w:t>
      </w:r>
      <w:r>
        <w:rPr>
          <w:rFonts w:hint="eastAsia" w:ascii="仿宋_GB2312" w:hAnsi="仿宋_GB2312" w:eastAsia="仿宋_GB2312" w:cs="Times New Roman"/>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Times New Roman"/>
          <w:color w:val="000000" w:themeColor="text1"/>
          <w:spacing w:val="0"/>
          <w:sz w:val="32"/>
          <w:szCs w:val="32"/>
          <w:highlight w:val="none"/>
          <w14:textFill>
            <w14:solidFill>
              <w14:schemeClr w14:val="tx1"/>
            </w14:solidFill>
          </w14:textFill>
        </w:rPr>
        <w:t>制定实施国有企业改革深化提升行动实施方案</w:t>
      </w:r>
      <w:r>
        <w:rPr>
          <w:rFonts w:hint="eastAsia" w:ascii="仿宋_GB2312" w:hAnsi="仿宋_GB2312" w:eastAsia="仿宋_GB2312" w:cs="Times New Roman"/>
          <w:color w:val="000000" w:themeColor="text1"/>
          <w:spacing w:val="0"/>
          <w:sz w:val="32"/>
          <w:szCs w:val="32"/>
          <w:highlight w:val="none"/>
          <w:lang w:eastAsia="zh-CN"/>
          <w14:textFill>
            <w14:solidFill>
              <w14:schemeClr w14:val="tx1"/>
            </w14:solidFill>
          </w14:textFill>
        </w:rPr>
        <w:t>，</w:t>
      </w:r>
      <w:r>
        <w:rPr>
          <w:rFonts w:hint="eastAsia" w:ascii="Calibri" w:hAnsi="仿宋_GB2312" w:eastAsia="仿宋_GB2312" w:cs="Times New Roman"/>
          <w:color w:val="000000" w:themeColor="text1"/>
          <w:spacing w:val="0"/>
          <w:sz w:val="32"/>
          <w:szCs w:val="32"/>
          <w:highlight w:val="none"/>
          <w14:textFill>
            <w14:solidFill>
              <w14:schemeClr w14:val="tx1"/>
            </w14:solidFill>
          </w14:textFill>
        </w:rPr>
        <w:t>推动国企更加聚焦主责主业，</w:t>
      </w:r>
      <w:bookmarkStart w:id="0" w:name="_Hlk180779108"/>
      <w:r>
        <w:rPr>
          <w:rFonts w:hint="eastAsia" w:ascii="仿宋_GB2312" w:hAnsi="仿宋_GB2312" w:eastAsia="仿宋_GB2312" w:cs="仿宋_GB2312"/>
          <w:b w:val="0"/>
          <w:bCs w:val="0"/>
          <w:color w:val="000000" w:themeColor="text1"/>
          <w:spacing w:val="0"/>
          <w:sz w:val="32"/>
          <w:szCs w:val="32"/>
          <w:highlight w:val="none"/>
          <w:u w:val="none" w:color="auto"/>
          <w14:textFill>
            <w14:solidFill>
              <w14:schemeClr w14:val="tx1"/>
            </w14:solidFill>
          </w14:textFill>
        </w:rPr>
        <w:t>研究制定区属国有企业主责主业管理办法，明确区属企业围绕主责开展主业经营。</w:t>
      </w:r>
      <w:bookmarkEnd w:id="0"/>
      <w:r>
        <w:rPr>
          <w:rFonts w:hint="eastAsia" w:ascii="仿宋_GB2312" w:hAnsi="Calibri" w:eastAsia="仿宋_GB2312" w:cs="Times New Roman"/>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健全“企地区管”长效工作机制，实现存量房产信息录入上图，统筹推动国企空间资源保障产业发展和民生需求。制定</w:t>
      </w:r>
      <w:r>
        <w:rPr>
          <w:rFonts w:hint="eastAsia" w:ascii="仿宋_GB2312" w:hAnsi="仿宋_GB2312" w:eastAsia="仿宋_GB2312" w:cs="仿宋_GB2312"/>
          <w:b w:val="0"/>
          <w:bCs w:val="0"/>
          <w:color w:val="000000" w:themeColor="text1"/>
          <w:spacing w:val="0"/>
          <w:sz w:val="32"/>
          <w:szCs w:val="32"/>
          <w:highlight w:val="none"/>
          <w:u w:val="none"/>
          <w:shd w:val="clear" w:color="auto" w:fill="auto"/>
          <w:lang w:eastAsia="zh-CN"/>
          <w14:textFill>
            <w14:solidFill>
              <w14:schemeClr w14:val="tx1"/>
            </w14:solidFill>
          </w14:textFill>
        </w:rPr>
        <w:t>深化“村地区管”二十条措施，完善涉地集体经济合同联审机制，优化“村地区管”信息化系统，首次摸清集体资产家底，1095万平方米存量房屋矢量数据全部上图入库，构建新形势下农村集体资产规范化、科学化、信息化的监管体系。</w:t>
      </w:r>
      <w:r>
        <w:rPr>
          <w:rFonts w:hint="eastAsia" w:ascii="仿宋_GB2312" w:hAnsi="仿宋_GB2312" w:eastAsia="仿宋_GB2312" w:cs="仿宋_GB2312"/>
          <w:bCs/>
          <w:color w:val="000000" w:themeColor="text1"/>
          <w:spacing w:val="0"/>
          <w:sz w:val="32"/>
          <w:szCs w:val="32"/>
          <w:highlight w:val="none"/>
          <w:u w:val="none" w:color="auto"/>
          <w:lang w:eastAsia="zh-CN"/>
          <w14:textFill>
            <w14:solidFill>
              <w14:schemeClr w14:val="tx1"/>
            </w14:solidFill>
          </w14:textFill>
        </w:rPr>
        <w:t>发布金融“</w:t>
      </w:r>
      <w:r>
        <w:rPr>
          <w:rFonts w:hint="eastAsia" w:ascii="仿宋_GB2312" w:hAnsi="仿宋_GB2312" w:eastAsia="仿宋_GB2312" w:cs="仿宋_GB2312"/>
          <w:bCs/>
          <w:color w:val="000000" w:themeColor="text1"/>
          <w:spacing w:val="0"/>
          <w:sz w:val="32"/>
          <w:szCs w:val="32"/>
          <w:highlight w:val="none"/>
          <w:u w:val="none" w:color="auto"/>
          <w:lang w:val="en-US" w:eastAsia="zh-CN"/>
          <w14:textFill>
            <w14:solidFill>
              <w14:schemeClr w14:val="tx1"/>
            </w14:solidFill>
          </w14:textFill>
        </w:rPr>
        <w:t>1+6</w:t>
      </w:r>
      <w:r>
        <w:rPr>
          <w:rFonts w:hint="eastAsia" w:ascii="仿宋_GB2312" w:hAnsi="仿宋_GB2312" w:eastAsia="仿宋_GB2312" w:cs="仿宋_GB2312"/>
          <w:bCs/>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highlight w:val="none"/>
          <w:u w:val="none" w:color="auto"/>
          <w:lang w:val="en-US" w:eastAsia="zh-CN"/>
          <w14:textFill>
            <w14:solidFill>
              <w14:schemeClr w14:val="tx1"/>
            </w14:solidFill>
          </w14:textFill>
        </w:rPr>
        <w:t>政策体系，进一步优化促进金融业发展和金融服务实体经济的政策环境</w:t>
      </w:r>
      <w:bookmarkStart w:id="1" w:name="_Hlk180779239"/>
      <w:r>
        <w:rPr>
          <w:rFonts w:hint="eastAsia" w:ascii="仿宋_GB2312" w:hAnsi="Calibri" w:eastAsia="仿宋_GB2312" w:cs="Times New Roman"/>
          <w:color w:val="000000" w:themeColor="text1"/>
          <w:spacing w:val="0"/>
          <w:w w:val="100"/>
          <w:kern w:val="2"/>
          <w:sz w:val="32"/>
          <w:szCs w:val="32"/>
          <w:highlight w:val="none"/>
          <w:u w:val="none" w:color="auto"/>
          <w:lang w:val="en-US" w:eastAsia="zh-CN" w:bidi="ar-SA"/>
          <w14:textFill>
            <w14:solidFill>
              <w14:schemeClr w14:val="tx1"/>
            </w14:solidFill>
          </w14:textFill>
        </w:rPr>
        <w:t>。</w:t>
      </w:r>
      <w:bookmarkEnd w:id="1"/>
    </w:p>
    <w:p w14:paraId="4BB67C7F">
      <w:pPr>
        <w:pStyle w:val="32"/>
        <w:keepNext w:val="0"/>
        <w:keepLines w:val="0"/>
        <w:pageBreakBefore w:val="0"/>
        <w:widowControl w:val="0"/>
        <w:kinsoku/>
        <w:wordWrap/>
        <w:overflowPunct w:val="0"/>
        <w:topLinePunct w:val="0"/>
        <w:autoSpaceDE/>
        <w:autoSpaceDN/>
        <w:bidi w:val="0"/>
        <w:adjustRightInd/>
        <w:snapToGrid/>
        <w:spacing w:before="63" w:beforeLines="20" w:after="63" w:afterLines="20" w:line="400" w:lineRule="exact"/>
        <w:ind w:left="0" w:lef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专栏3：区委贯彻党的二十届三中全会和市委十三届五次全会精神</w:t>
      </w:r>
      <w:r>
        <w:rPr>
          <w:rFonts w:hint="eastAsia"/>
          <w:color w:val="000000" w:themeColor="text1"/>
          <w:sz w:val="28"/>
          <w:szCs w:val="28"/>
          <w:lang w:val="en-US" w:eastAsia="zh-CN"/>
          <w14:textFill>
            <w14:solidFill>
              <w14:schemeClr w14:val="tx1"/>
            </w14:solidFill>
          </w14:textFill>
        </w:rPr>
        <w:br w:type="textWrapping"/>
      </w:r>
      <w:r>
        <w:rPr>
          <w:rFonts w:hint="eastAsia"/>
          <w:color w:val="000000" w:themeColor="text1"/>
          <w:sz w:val="28"/>
          <w:szCs w:val="28"/>
          <w:lang w:val="en-US" w:eastAsia="zh-CN"/>
          <w14:textFill>
            <w14:solidFill>
              <w14:schemeClr w14:val="tx1"/>
            </w14:solidFill>
          </w14:textFill>
        </w:rPr>
        <w:t>进一步全面深化改革工作方案</w:t>
      </w:r>
    </w:p>
    <w:tbl>
      <w:tblPr>
        <w:tblStyle w:val="25"/>
        <w:tblW w:w="908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471"/>
        <w:gridCol w:w="7616"/>
      </w:tblGrid>
      <w:tr w14:paraId="383059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tblHeader/>
          <w:jc w:val="center"/>
        </w:trPr>
        <w:tc>
          <w:tcPr>
            <w:tcW w:w="1471" w:type="dxa"/>
            <w:tcBorders>
              <w:tl2br w:val="nil"/>
              <w:tr2bl w:val="nil"/>
            </w:tcBorders>
            <w:noWrap w:val="0"/>
            <w:vAlign w:val="center"/>
          </w:tcPr>
          <w:p w14:paraId="5DD074F9">
            <w:pPr>
              <w:keepNext w:val="0"/>
              <w:keepLines w:val="0"/>
              <w:widowControl/>
              <w:suppressLineNumbers w:val="0"/>
              <w:spacing w:line="240" w:lineRule="auto"/>
              <w:ind w:left="0" w:leftChars="0" w:right="0" w:rightChars="0" w:firstLine="0" w:firstLineChars="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sz w:val="24"/>
                <w:szCs w:val="24"/>
                <w:u w:val="none"/>
                <w:lang w:val="en-US" w:eastAsia="zh-CN"/>
                <w14:textFill>
                  <w14:solidFill>
                    <w14:schemeClr w14:val="tx1"/>
                  </w14:solidFill>
                </w14:textFill>
              </w:rPr>
              <w:t>主要内容</w:t>
            </w:r>
          </w:p>
        </w:tc>
        <w:tc>
          <w:tcPr>
            <w:tcW w:w="7616" w:type="dxa"/>
            <w:tcBorders>
              <w:tl2br w:val="nil"/>
              <w:tr2bl w:val="nil"/>
            </w:tcBorders>
            <w:noWrap w:val="0"/>
            <w:vAlign w:val="center"/>
          </w:tcPr>
          <w:p w14:paraId="165806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重点举措</w:t>
            </w:r>
          </w:p>
        </w:tc>
      </w:tr>
      <w:tr w14:paraId="199EB6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55285588">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健全优化提升首都功能体制机制</w:t>
            </w:r>
          </w:p>
        </w:tc>
        <w:tc>
          <w:tcPr>
            <w:tcW w:w="7616" w:type="dxa"/>
            <w:tcBorders>
              <w:tl2br w:val="nil"/>
              <w:tr2bl w:val="nil"/>
            </w:tcBorders>
            <w:noWrap w:val="0"/>
            <w:tcMar>
              <w:top w:w="34" w:type="dxa"/>
              <w:bottom w:w="34" w:type="dxa"/>
            </w:tcMar>
            <w:vAlign w:val="center"/>
          </w:tcPr>
          <w:p w14:paraId="5653B04B">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完善重点地区规划管控和综合整治机制，健全疏解整治促提升专项行动长效机制，加强城市更新与疏整促政策统筹，健全区域产业协作发展机制。</w:t>
            </w:r>
          </w:p>
        </w:tc>
      </w:tr>
      <w:tr w14:paraId="0385BC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02C62CAD">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加快构建高水平社会主义市场经济体制</w:t>
            </w:r>
          </w:p>
        </w:tc>
        <w:tc>
          <w:tcPr>
            <w:tcW w:w="7616" w:type="dxa"/>
            <w:tcBorders>
              <w:tl2br w:val="nil"/>
              <w:tr2bl w:val="nil"/>
            </w:tcBorders>
            <w:noWrap w:val="0"/>
            <w:tcMar>
              <w:top w:w="34" w:type="dxa"/>
              <w:bottom w:w="34" w:type="dxa"/>
            </w:tcMar>
            <w:vAlign w:val="center"/>
          </w:tcPr>
          <w:p w14:paraId="704811BC">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国资国企改革，健全大中小企业融通创新机制，完善民营企业融资支持机制，优化招商引资管理体制机制，探索数据要素支持创新机制，健全重大项目谋划储备工作机制，完善扩大消费长效机制，健全知识产权综合管理体制机制，全面推进“高效办成一件事”改革，完善一体化综合监管机制，健全经济政策一致性评估机制，构建政府投资基金谱系，完善金融服务实体经济体制机制。</w:t>
            </w:r>
          </w:p>
        </w:tc>
      </w:tr>
      <w:tr w14:paraId="14A6CB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tcMar>
              <w:left w:w="57" w:type="dxa"/>
              <w:right w:w="57" w:type="dxa"/>
            </w:tcMar>
            <w:vAlign w:val="center"/>
          </w:tcPr>
          <w:p w14:paraId="3811F9DA">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健全推动经济高质量发展体制机制</w:t>
            </w:r>
          </w:p>
        </w:tc>
        <w:tc>
          <w:tcPr>
            <w:tcW w:w="7616" w:type="dxa"/>
            <w:tcBorders>
              <w:tl2br w:val="nil"/>
              <w:tr2bl w:val="nil"/>
            </w:tcBorders>
            <w:noWrap w:val="0"/>
            <w:tcMar>
              <w:top w:w="34" w:type="dxa"/>
              <w:bottom w:w="34" w:type="dxa"/>
            </w:tcMar>
            <w:vAlign w:val="center"/>
          </w:tcPr>
          <w:p w14:paraId="5FF2D2AB">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健全原始创新策源机制，完善产学研协同创新机制，完善专业化特色产业园培育机制，深化产业园区管理体制机制改革，健全科技型中小企业梯度培育机制，建立产业集群梯次发展体系，构建支撑重点产业发展的资源网络，建立服务科技创新和产业发展决策机制，开展数据基础制度先行先试，推进全域数智化转型，建设全球数字经济标杆城市引领区，完善平台经济服务监管机制，提升科技服务业能级，健全生活性服务业发展机制。</w:t>
            </w:r>
          </w:p>
        </w:tc>
      </w:tr>
      <w:tr w14:paraId="1ED6C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06A42C57">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统筹推进教育科技人才体制机制一体改革</w:t>
            </w:r>
          </w:p>
        </w:tc>
        <w:tc>
          <w:tcPr>
            <w:tcW w:w="7616" w:type="dxa"/>
            <w:tcBorders>
              <w:tl2br w:val="nil"/>
              <w:tr2bl w:val="nil"/>
            </w:tcBorders>
            <w:noWrap w:val="0"/>
            <w:tcMar>
              <w:top w:w="34" w:type="dxa"/>
              <w:bottom w:w="34" w:type="dxa"/>
            </w:tcMar>
            <w:vAlign w:val="center"/>
          </w:tcPr>
          <w:p w14:paraId="6EBEB1EE">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建设大中小学思政一体化改革创新试验区，完善义务教育优质均衡推进机制，实施拔尖创新人才培养工程，探索“人工智能+教育”体系建设，探索高校助力区域经济社会发展新模式，完善国家战略科技力量服务保障机制，健全重大科技创新组织机制，完善新型研发机构支持机制，健全基础研究多元支持机制，健全部市区联动建设世界领先科技园区机制，建立培育壮大科技领军企业机制，完善科技成果转化机制，加强新领域新赛道制度供给，深化人才评价改革，健全青年人才选拔培养机制。</w:t>
            </w:r>
          </w:p>
        </w:tc>
      </w:tr>
      <w:tr w14:paraId="32C578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0B8373D7">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完善高水平对外开放体制机制</w:t>
            </w:r>
          </w:p>
        </w:tc>
        <w:tc>
          <w:tcPr>
            <w:tcW w:w="7616" w:type="dxa"/>
            <w:tcBorders>
              <w:tl2br w:val="nil"/>
              <w:tr2bl w:val="nil"/>
            </w:tcBorders>
            <w:noWrap w:val="0"/>
            <w:tcMar>
              <w:top w:w="34" w:type="dxa"/>
              <w:bottom w:w="34" w:type="dxa"/>
            </w:tcMar>
            <w:vAlign w:val="center"/>
          </w:tcPr>
          <w:p w14:paraId="2635BAEC">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深化中关村综合保税区体制机制改革，深化外资外贸体制机制改革。</w:t>
            </w:r>
          </w:p>
        </w:tc>
      </w:tr>
      <w:tr w14:paraId="6CE31E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64E5BEEB">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健全全过程人民民主制度体系</w:t>
            </w:r>
          </w:p>
        </w:tc>
        <w:tc>
          <w:tcPr>
            <w:tcW w:w="7616" w:type="dxa"/>
            <w:tcBorders>
              <w:tl2br w:val="nil"/>
              <w:tr2bl w:val="nil"/>
            </w:tcBorders>
            <w:noWrap w:val="0"/>
            <w:tcMar>
              <w:top w:w="34" w:type="dxa"/>
              <w:bottom w:w="34" w:type="dxa"/>
            </w:tcMar>
            <w:vAlign w:val="center"/>
          </w:tcPr>
          <w:p w14:paraId="584BC0B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坚持好、完善好、运行好人民代表大会制度，加强“三新”领域妇联组织建设，发挥共青团联系服务群众的桥梁纽带作用，推动人民政协协商民主机制更加成熟更加定型，健全基层党组织领导的基层群众自治机制，完善劳动关系协商协调机制，坚持和完善大统战工作格局，健全促进非公有制经济健康发展机制。</w:t>
            </w:r>
          </w:p>
        </w:tc>
      </w:tr>
      <w:tr w14:paraId="7C508D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2AFE96C5">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完善建设法治中国首善之区体制机制</w:t>
            </w:r>
          </w:p>
        </w:tc>
        <w:tc>
          <w:tcPr>
            <w:tcW w:w="7616" w:type="dxa"/>
            <w:tcBorders>
              <w:tl2br w:val="nil"/>
              <w:tr2bl w:val="nil"/>
            </w:tcBorders>
            <w:noWrap w:val="0"/>
            <w:tcMar>
              <w:top w:w="34" w:type="dxa"/>
              <w:bottom w:w="34" w:type="dxa"/>
            </w:tcMar>
            <w:vAlign w:val="center"/>
          </w:tcPr>
          <w:p w14:paraId="7D643C9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深化法治政府建设领域改革，构建政法业务协同配合工作体系，落实和完善司法责任制，加强和改进未成年人权益保护，改进法治宣传教育，深化法治社会建设领域改革。</w:t>
            </w:r>
          </w:p>
        </w:tc>
      </w:tr>
      <w:tr w14:paraId="4B9D98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42893062">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深化文化体制机制改革</w:t>
            </w:r>
          </w:p>
        </w:tc>
        <w:tc>
          <w:tcPr>
            <w:tcW w:w="7616" w:type="dxa"/>
            <w:tcBorders>
              <w:tl2br w:val="nil"/>
              <w:tr2bl w:val="nil"/>
            </w:tcBorders>
            <w:noWrap w:val="0"/>
            <w:vAlign w:val="center"/>
          </w:tcPr>
          <w:p w14:paraId="3052140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学习贯彻习近平新时代中国特色社会主义思想常态化制度建设，构建适应全媒体生产传播工作机制和评价体系，推动理想信念教育常态化制度化，创新文明培育、创建、实践工作机制，完善公共文化服务运行管理机制，改进文艺创作生产服务、引导、组织工作机制，完善促进文化和科技融合的政策体系，完善文化遗产保护机制，完善全民健身公共服务体系，健全文化产业体系和市场体系，完善文化旅游产业发展政策体系，健全文化和旅游深度融合发展体制机制，深化网络管理体制改革，扩大国际人文交流合作。</w:t>
            </w:r>
          </w:p>
        </w:tc>
      </w:tr>
      <w:tr w14:paraId="0CF5C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429A873F">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深入推进民生领域改革</w:t>
            </w:r>
          </w:p>
        </w:tc>
        <w:tc>
          <w:tcPr>
            <w:tcW w:w="7616" w:type="dxa"/>
            <w:tcBorders>
              <w:tl2br w:val="nil"/>
              <w:tr2bl w:val="nil"/>
            </w:tcBorders>
            <w:noWrap w:val="0"/>
            <w:vAlign w:val="center"/>
          </w:tcPr>
          <w:p w14:paraId="74EA6D38">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构建高质量充分就业促进机制，完善社会保障基金安全防控体系，完善大病保险和医疗救助制度，深化服务类社会救助改革，建立租购并举的人才住房保障机制，推进公立医院改革，优化社区卫生服务机构医保服务机制，优化母婴健康服务，完善人口工作机制，完善养老服务体系。</w:t>
            </w:r>
          </w:p>
        </w:tc>
      </w:tr>
      <w:tr w14:paraId="703B20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0373D40C">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深化生态文明体制改革</w:t>
            </w:r>
          </w:p>
        </w:tc>
        <w:tc>
          <w:tcPr>
            <w:tcW w:w="7616" w:type="dxa"/>
            <w:tcBorders>
              <w:tl2br w:val="nil"/>
              <w:tr2bl w:val="nil"/>
            </w:tcBorders>
            <w:noWrap w:val="0"/>
            <w:vAlign w:val="center"/>
          </w:tcPr>
          <w:p w14:paraId="446ED98B">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构建现代化生态环境监测体系，健全自然资源保护利用机制，完善美丽海淀建设制度机制，探索实施环评审批与排污许可“两证合一”改革，加强生物多样性保护，健全碳排放管控机制，建立园林废弃物循环利用体系，完善全方位、多层次的生态文明宣教体系，构建绿色空间、滨水空间共建共治共享的治理体系。</w:t>
            </w:r>
          </w:p>
        </w:tc>
      </w:tr>
      <w:tr w14:paraId="4641D7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4DC24542">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构建超大城市现代化治理体系</w:t>
            </w:r>
          </w:p>
        </w:tc>
        <w:tc>
          <w:tcPr>
            <w:tcW w:w="7616" w:type="dxa"/>
            <w:tcBorders>
              <w:tl2br w:val="nil"/>
              <w:tr2bl w:val="nil"/>
            </w:tcBorders>
            <w:noWrap w:val="0"/>
            <w:vAlign w:val="center"/>
          </w:tcPr>
          <w:p w14:paraId="540BBB5D">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优化详细规划编制的内容及程序，深化产业用地资源配置改革，提高轨道交通站点周边建设强度，建立街区控规项目清单调度机制，健全城市更新工作协调、实施机制，推进城市更新项目并联审批，创新智慧城市建设运营机制，加强智慧交通建设，健全物业管理体系，探索公共空间城市管理服务一体化改革，完善高效协同的群众诉求办理工作机制，完善民生大数据辅助决策机制，深化主动治理、未诉先办改革。</w:t>
            </w:r>
          </w:p>
        </w:tc>
      </w:tr>
      <w:tr w14:paraId="79E7B0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27565752">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完善城乡区域协调发展体制机制</w:t>
            </w:r>
          </w:p>
        </w:tc>
        <w:tc>
          <w:tcPr>
            <w:tcW w:w="7616" w:type="dxa"/>
            <w:tcBorders>
              <w:tl2br w:val="nil"/>
              <w:tr2bl w:val="nil"/>
            </w:tcBorders>
            <w:noWrap w:val="0"/>
            <w:vAlign w:val="center"/>
          </w:tcPr>
          <w:p w14:paraId="5AD747B9">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探索保留村改造提升路径，探索和美乡村建设模式和标准化治理模式，建立集体农用地经营权流转补偿机制，深化“村地区管”改革，建立农业种植用地环境长效管护工作机制。</w:t>
            </w:r>
          </w:p>
        </w:tc>
      </w:tr>
      <w:tr w14:paraId="582641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39F8CF7F">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健全维护首都安全稳定制度机制</w:t>
            </w:r>
          </w:p>
        </w:tc>
        <w:tc>
          <w:tcPr>
            <w:tcW w:w="7616" w:type="dxa"/>
            <w:tcBorders>
              <w:tl2br w:val="nil"/>
              <w:tr2bl w:val="nil"/>
            </w:tcBorders>
            <w:noWrap w:val="0"/>
            <w:vAlign w:val="center"/>
          </w:tcPr>
          <w:p w14:paraId="40AB43C2">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构建海淀特色的高水平安全体系，完善大应急框架下应急指挥机制，探索公共基础设施“平急两用”实施路径，健全重点行业领域安全管理工作机制，健全党建引领基层治理体系，推进信访工作法治化，完善轻罪治理工作机制。</w:t>
            </w:r>
          </w:p>
        </w:tc>
      </w:tr>
      <w:tr w14:paraId="080C5F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471" w:type="dxa"/>
            <w:tcBorders>
              <w:tl2br w:val="nil"/>
              <w:tr2bl w:val="nil"/>
            </w:tcBorders>
            <w:noWrap w:val="0"/>
            <w:vAlign w:val="center"/>
          </w:tcPr>
          <w:p w14:paraId="20D0A680">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提高党对进一步全面深化改革的领导水平</w:t>
            </w:r>
          </w:p>
        </w:tc>
        <w:tc>
          <w:tcPr>
            <w:tcW w:w="7616" w:type="dxa"/>
            <w:tcBorders>
              <w:tl2br w:val="nil"/>
              <w:tr2bl w:val="nil"/>
            </w:tcBorders>
            <w:noWrap w:val="0"/>
            <w:vAlign w:val="center"/>
          </w:tcPr>
          <w:p w14:paraId="1D3F79A8">
            <w:pPr>
              <w:keepNext w:val="0"/>
              <w:keepLines w:val="0"/>
              <w:widowControl/>
              <w:suppressLineNumbers w:val="0"/>
              <w:spacing w:line="24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增强党组织政治功能和组织功能，探索“三新”领域党建机制，完善党员教育管理体系，建设堪当重任的高素质干部队伍，健全政治监督具体化、精准化、常态化机制，健全防治形式主义、官僚主义制度机制，健全经常性和集中性相结合的纪律教育机制，健全不正之风和腐败问题同查同治机制，深化运用监督执纪“四种形态”，强化全面从严治党主体责任和监督责任，完善权力配置和运行制约机制，健全完善巡察工作制度，深化基层纪检监察体制改革。</w:t>
            </w:r>
          </w:p>
        </w:tc>
      </w:tr>
    </w:tbl>
    <w:p w14:paraId="3C201AE3">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营商环境持续优化升级。</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印发加快优化营商环境和创新生态服务高质量发展实施方案。深化“放管服”改革，落地“一业一证”12个行业案例，包括全市首个“一业一证”变更案例，完成全国首次大型商业综合体“一业一证”批量办理，对接西北旺万象汇、海淀大悦城形成79个改革案例批量落地的“海淀服务”新模式，累计落地“高效办成一件事”案例91个，政务服务大模型在综合窗口场景化应用咨询问答准确率达92%，成立中关村温泉科技园、卫星制造厂、四季慧谷园区政务服务站。完成新旧版行政许可事项清单的更新，共上线616条新版行政许可事项（子项），完成率100%。59项兑现类政策在“京策”平台发布，政策精准推送20.7余万次。高效推进“三个一批”工作，推进34个部门的628个政务服务事项优化，推动272个事项实现全程网办，171个事项网办率和网办量双提升。拓宽服务保障体系，启动全市首个商业秘密保护服务联盟，建立联系点（站）52家。提升企业服务效能，推行“无事不扰”企业清单试点，已纳入清单企业10079户；走访1524家“服务包”企业3426次，办结公共资源申请、规划建设审批、业务推广合作等各类企业诉求7335项，办结率达到100%；“服务包”企业在我区新设控股和全资子公司199家，累计注册资本约35.96亿元。</w:t>
      </w:r>
    </w:p>
    <w:p w14:paraId="6C2ABA17">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firstLine="640" w:firstLineChars="200"/>
        <w:jc w:val="both"/>
        <w:textAlignment w:val="auto"/>
        <w:outlineLvl w:val="1"/>
        <w:rPr>
          <w:rFonts w:hint="eastAsia" w:ascii="楷体_GB2312" w:hAnsi="仿宋_GB2312" w:eastAsia="楷体_GB2312" w:cs="Times New Roman"/>
          <w:b w:val="0"/>
          <w:bCs/>
          <w:color w:val="000000" w:themeColor="text1"/>
          <w:spacing w:val="0"/>
          <w:w w:val="100"/>
          <w:sz w:val="32"/>
          <w:szCs w:val="32"/>
          <w:highlight w:val="none"/>
          <w:u w:val="none" w:color="auto"/>
          <w:lang w:eastAsia="zh-CN"/>
          <w14:textFill>
            <w14:solidFill>
              <w14:schemeClr w14:val="tx1"/>
            </w14:solidFill>
          </w14:textFill>
        </w:rPr>
      </w:pPr>
      <w:r>
        <w:rPr>
          <w:rFonts w:hint="eastAsia" w:ascii="楷体_GB2312" w:hAnsi="仿宋_GB2312" w:eastAsia="楷体_GB2312" w:cs="Times New Roman"/>
          <w:b w:val="0"/>
          <w:bCs/>
          <w:color w:val="000000" w:themeColor="text1"/>
          <w:spacing w:val="0"/>
          <w:w w:val="100"/>
          <w:sz w:val="32"/>
          <w:szCs w:val="32"/>
          <w:highlight w:val="none"/>
          <w:u w:val="none" w:color="auto"/>
          <w:lang w:eastAsia="zh-CN"/>
          <w14:textFill>
            <w14:solidFill>
              <w14:schemeClr w14:val="tx1"/>
            </w14:solidFill>
          </w14:textFill>
        </w:rPr>
        <w:t>（五）坚持生态文明建设和民生无小事，进一步解决好群众急难愁盼问题</w:t>
      </w:r>
    </w:p>
    <w:p w14:paraId="7DFF58C5">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生态环境质量向好。</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空气质量持续改善，PM</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vertAlign w:val="subscript"/>
          <w:lang w:val="en-US" w:eastAsia="zh-CN" w:bidi="ar-SA"/>
          <w14:textFill>
            <w14:solidFill>
              <w14:schemeClr w14:val="tx1"/>
            </w14:solidFill>
          </w14:textFill>
        </w:rPr>
        <w:t>2.5</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平均浓度30.6微克/立方米，同比下降4.4%；优良天293天，同比增加16天。水环境质量取得突破，8个地表水考核断面达标率，南沙河玉河橡胶坝断面由劣Ⅴ类跃升为Ⅲ类，8个地表水市级考核断面水质达标率、优良水体比例首次实现“双100%”；集中式饮用水源地水质稳定达标。深入推进“水清岸绿”行动，新增南沙河、南旱河、黑山扈沟等滨水慢行道路32.7公里，治理河道17.35公里，清河之源、</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崔家窑雨水湿地公园</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正式开园，实现蓝绿融合332.4公顷。</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上庄片区补水及循环工程完工通水，新增9条总长25.11公里有水河渠，全区</w:t>
      </w:r>
      <w:r>
        <w:rPr>
          <w:rFonts w:hint="eastAsia" w:ascii="仿宋_GB2312" w:hAnsi="Calibri"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6大生态循环补水网络全部建成，</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41条河渠实现生态循环补水，互连互通、亲水宜居、水城协调的水生态格局基本形成。</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土壤环境质量总体良好，重点建设用地安全利用率保持100%。</w:t>
      </w:r>
    </w:p>
    <w:p w14:paraId="288B6E1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pPr>
      <w:r>
        <w:rPr>
          <w:rFonts w:hint="eastAsia" w:ascii="仿宋_GB2312" w:hAnsi="Calibri" w:eastAsia="仿宋_GB2312" w:cs="Times New Roman"/>
          <w:b/>
          <w:bCs/>
          <w:color w:val="000000" w:themeColor="text1"/>
          <w:spacing w:val="0"/>
          <w:kern w:val="2"/>
          <w:sz w:val="32"/>
          <w:szCs w:val="32"/>
          <w:highlight w:val="none"/>
          <w:lang w:val="en-US" w:eastAsia="zh-CN" w:bidi="ar-SA"/>
          <w14:textFill>
            <w14:solidFill>
              <w14:schemeClr w14:val="tx1"/>
            </w14:solidFill>
          </w14:textFill>
        </w:rPr>
        <w:t>花园城市成果丰硕。</w:t>
      </w:r>
      <w:r>
        <w:rPr>
          <w:rFonts w:hint="eastAsia" w:ascii="仿宋_GB2312" w:hAnsi="Calibri"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绿色生态空间持续拓展，</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新建</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西北旺科创生态小镇等10处公园绿地和</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如园南侧绿地等</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24处小微绿地</w:t>
      </w:r>
      <w:r>
        <w:rPr>
          <w:rFonts w:hint="eastAsia" w:ascii="仿宋_GB2312" w:hAnsi="Calibri" w:eastAsia="仿宋_GB2312" w:cs="Times New Roman"/>
          <w:i w:val="0"/>
          <w:iCs w:val="0"/>
          <w:cap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全年</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新增改造林地、绿地181.3公顷，新增绿道27.5公里，</w:t>
      </w:r>
      <w:r>
        <w:rPr>
          <w:rFonts w:hint="eastAsia" w:ascii="仿宋_GB2312" w:hAnsi="Calibri" w:eastAsia="仿宋_GB2312" w:cs="Times New Roman"/>
          <w:bCs w:val="0"/>
          <w:color w:val="000000" w:themeColor="text1"/>
          <w:spacing w:val="0"/>
          <w:kern w:val="2"/>
          <w:sz w:val="32"/>
          <w:szCs w:val="32"/>
          <w:highlight w:val="none"/>
          <w:u w:val="none" w:color="auto"/>
          <w:lang w:val="en-US" w:eastAsia="zh-CN" w:bidi="ar-SA"/>
          <w14:textFill>
            <w14:solidFill>
              <w14:schemeClr w14:val="tx1"/>
            </w14:solidFill>
          </w14:textFill>
        </w:rPr>
        <w:t>建成开放公园11处</w:t>
      </w:r>
      <w:r>
        <w:rPr>
          <w:rFonts w:hint="eastAsia" w:ascii="仿宋_GB2312" w:hAnsi="Calibri" w:eastAsia="仿宋_GB2312" w:cs="Times New Roman"/>
          <w:b w:val="0"/>
          <w:color w:val="000000" w:themeColor="text1"/>
          <w:spacing w:val="0"/>
          <w:kern w:val="2"/>
          <w:sz w:val="32"/>
          <w:szCs w:val="32"/>
          <w:highlight w:val="none"/>
          <w:lang w:val="en-US" w:eastAsia="zh-CN" w:bidi="ar-SA"/>
          <w14:textFill>
            <w14:solidFill>
              <w14:schemeClr w14:val="tx1"/>
            </w14:solidFill>
          </w14:textFill>
        </w:rPr>
        <w:t>。城市彩化工作初见成效，</w:t>
      </w:r>
      <w:r>
        <w:rPr>
          <w:rFonts w:hint="eastAsia" w:ascii="仿宋_GB2312" w:hAnsi="Calibri" w:eastAsia="仿宋_GB2312" w:cs="Times New Roman"/>
          <w:color w:val="000000" w:themeColor="text1"/>
          <w:spacing w:val="0"/>
          <w:kern w:val="2"/>
          <w:sz w:val="32"/>
          <w:szCs w:val="32"/>
          <w:highlight w:val="none"/>
          <w:lang w:val="en-US" w:eastAsia="zh-CN" w:bidi="ar-SA"/>
          <w14:textFill>
            <w14:solidFill>
              <w14:schemeClr w14:val="tx1"/>
            </w14:solidFill>
          </w14:textFill>
        </w:rPr>
        <w:t>完成40条城市画廊、28个城市花园、37个城市丽角项目建设，打造出六郎庄公园等5处油菜花海及北坞公园等6处京西稻田，21座立交桥体实现立体美颜</w:t>
      </w:r>
      <w:r>
        <w:rPr>
          <w:rFonts w:hint="eastAsia" w:ascii="仿宋_GB2312" w:hAnsi="Calibri" w:eastAsia="仿宋_GB2312" w:cs="Times New Roman"/>
          <w:color w:val="000000" w:themeColor="text1"/>
          <w:spacing w:val="0"/>
          <w:kern w:val="2"/>
          <w:sz w:val="32"/>
          <w:szCs w:val="32"/>
          <w:highlight w:val="none"/>
          <w:u w:val="none" w:color="auto"/>
          <w:lang w:val="en-US" w:eastAsia="zh-CN" w:bidi="ar-SA"/>
          <w14:textFill>
            <w14:solidFill>
              <w14:schemeClr w14:val="tx1"/>
            </w14:solidFill>
          </w14:textFill>
        </w:rPr>
        <w:t>。持续开展生物多样性保护，发现多种濒危极危物种，新建3个生物多样性保育小区，推进翠湖生态公园试点建设。</w:t>
      </w:r>
    </w:p>
    <w:p w14:paraId="4556EA1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pPr>
      <w:r>
        <w:rPr>
          <w:rFonts w:hint="eastAsia" w:ascii="仿宋_GB2312" w:hAnsi="仿宋_GB2312" w:eastAsia="仿宋_GB2312" w:cs="Times New Roman"/>
          <w:b/>
          <w:bCs/>
          <w:color w:val="000000" w:themeColor="text1"/>
          <w:spacing w:val="0"/>
          <w:w w:val="100"/>
          <w:sz w:val="32"/>
          <w:szCs w:val="32"/>
          <w:highlight w:val="none"/>
          <w:u w:val="none" w:color="auto"/>
          <w:lang w:val="en-US" w:eastAsia="zh-CN"/>
          <w14:textFill>
            <w14:solidFill>
              <w14:schemeClr w14:val="tx1"/>
            </w14:solidFill>
          </w14:textFill>
        </w:rPr>
        <w:t>教育质量不断提升</w:t>
      </w:r>
      <w:r>
        <w:rPr>
          <w:rFonts w:hint="eastAsia" w:ascii="仿宋_GB2312" w:hAnsi="仿宋_GB2312" w:eastAsia="仿宋_GB2312" w:cs="Times New Roman"/>
          <w:b/>
          <w:bCs/>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b w:val="0"/>
          <w:bCs w:val="0"/>
          <w:color w:val="000000" w:themeColor="text1"/>
          <w:spacing w:val="0"/>
          <w:w w:val="100"/>
          <w:sz w:val="32"/>
          <w:szCs w:val="32"/>
          <w:highlight w:val="none"/>
          <w:u w:val="none" w:color="auto"/>
          <w:lang w:eastAsia="zh-CN"/>
          <w14:textFill>
            <w14:solidFill>
              <w14:schemeClr w14:val="tx1"/>
            </w14:solidFill>
          </w14:textFill>
        </w:rPr>
        <w:t>获评国家级义务教育优质均衡发展区。</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教育集团拓展至43个、涵盖</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155</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所中小学，在全市率先实现公办中小学全部集团化基础上，完善集团治理架构、议事决策和统筹协调机制，指导制定集团课程建设规划</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b w:val="0"/>
          <w:bCs w:val="0"/>
          <w:color w:val="000000" w:themeColor="text1"/>
          <w:spacing w:val="0"/>
          <w:w w:val="100"/>
          <w:sz w:val="32"/>
          <w:szCs w:val="32"/>
          <w:highlight w:val="none"/>
          <w:u w:val="none" w:color="auto"/>
          <w:lang w:eastAsia="zh-CN"/>
          <w14:textFill>
            <w14:solidFill>
              <w14:schemeClr w14:val="tx1"/>
            </w14:solidFill>
          </w14:textFill>
        </w:rPr>
        <w:t>通过北大附小肖家河分校</w:t>
      </w:r>
      <w:r>
        <w:rPr>
          <w:rFonts w:hint="eastAsia" w:ascii="仿宋_GB2312" w:hAnsi="仿宋_GB2312" w:eastAsia="仿宋_GB2312" w:cs="Times New Roman"/>
          <w:b w:val="0"/>
          <w:bCs w:val="0"/>
          <w:color w:val="000000" w:themeColor="text1"/>
          <w:spacing w:val="0"/>
          <w:w w:val="100"/>
          <w:sz w:val="32"/>
          <w:szCs w:val="32"/>
          <w:highlight w:val="none"/>
          <w:u w:val="none" w:color="auto"/>
          <w:lang w:val="en-US" w:eastAsia="zh-CN"/>
          <w14:textFill>
            <w14:solidFill>
              <w14:schemeClr w14:val="tx1"/>
            </w14:solidFill>
          </w14:textFill>
        </w:rPr>
        <w:t>等</w:t>
      </w:r>
      <w:r>
        <w:rPr>
          <w:rFonts w:hint="eastAsia" w:ascii="仿宋_GB2312" w:hAnsi="仿宋_GB2312" w:eastAsia="仿宋_GB2312" w:cs="Times New Roman"/>
          <w:b w:val="0"/>
          <w:bCs w:val="0"/>
          <w:color w:val="000000" w:themeColor="text1"/>
          <w:spacing w:val="0"/>
          <w:w w:val="100"/>
          <w:sz w:val="32"/>
          <w:szCs w:val="32"/>
          <w:highlight w:val="none"/>
          <w:u w:val="none" w:color="auto"/>
          <w:lang w:eastAsia="zh-CN"/>
          <w14:textFill>
            <w14:solidFill>
              <w14:schemeClr w14:val="tx1"/>
            </w14:solidFill>
          </w14:textFill>
        </w:rPr>
        <w:t>12个新建和改扩建项目扩增学位80</w:t>
      </w:r>
      <w:r>
        <w:rPr>
          <w:rFonts w:hint="eastAsia" w:ascii="仿宋_GB2312" w:hAnsi="仿宋_GB2312" w:eastAsia="仿宋_GB2312" w:cs="Times New Roman"/>
          <w:b w:val="0"/>
          <w:bCs w:val="0"/>
          <w:color w:val="000000" w:themeColor="text1"/>
          <w:spacing w:val="0"/>
          <w:w w:val="100"/>
          <w:sz w:val="32"/>
          <w:szCs w:val="32"/>
          <w:highlight w:val="none"/>
          <w:u w:val="none" w:color="auto"/>
          <w:lang w:val="en-US" w:eastAsia="zh-CN"/>
          <w14:textFill>
            <w14:solidFill>
              <w14:schemeClr w14:val="tx1"/>
            </w14:solidFill>
          </w14:textFill>
        </w:rPr>
        <w:t>54</w:t>
      </w:r>
      <w:r>
        <w:rPr>
          <w:rFonts w:hint="eastAsia" w:ascii="仿宋_GB2312" w:hAnsi="仿宋_GB2312" w:eastAsia="仿宋_GB2312" w:cs="Times New Roman"/>
          <w:b w:val="0"/>
          <w:bCs w:val="0"/>
          <w:color w:val="000000" w:themeColor="text1"/>
          <w:spacing w:val="0"/>
          <w:w w:val="100"/>
          <w:sz w:val="32"/>
          <w:szCs w:val="32"/>
          <w:highlight w:val="none"/>
          <w:u w:val="none" w:color="auto"/>
          <w:lang w:eastAsia="zh-CN"/>
          <w14:textFill>
            <w14:solidFill>
              <w14:schemeClr w14:val="tx1"/>
            </w14:solidFill>
          </w14:textFill>
        </w:rPr>
        <w:t>个。</w:t>
      </w:r>
      <w:r>
        <w:rPr>
          <w:rFonts w:hint="default" w:ascii="仿宋_GB2312" w:hAnsi="Times New Roman" w:eastAsia="仿宋_GB2312" w:cs="宋体"/>
          <w:color w:val="000000" w:themeColor="text1"/>
          <w:spacing w:val="0"/>
          <w:sz w:val="32"/>
          <w:szCs w:val="32"/>
          <w:highlight w:val="none"/>
          <w:u w:val="none" w:color="auto"/>
          <w:lang w:bidi="ar"/>
          <w14:textFill>
            <w14:solidFill>
              <w14:schemeClr w14:val="tx1"/>
            </w14:solidFill>
          </w14:textFill>
        </w:rPr>
        <w:t>开展以跑步运动为主的全员体育锻炼、推进</w:t>
      </w:r>
      <w:r>
        <w:rPr>
          <w:rFonts w:hint="eastAsia" w:ascii="仿宋_GB2312" w:eastAsia="仿宋_GB2312" w:cs="宋体"/>
          <w:color w:val="000000" w:themeColor="text1"/>
          <w:spacing w:val="0"/>
          <w:sz w:val="32"/>
          <w:szCs w:val="32"/>
          <w:highlight w:val="none"/>
          <w:u w:val="none" w:color="auto"/>
          <w:lang w:eastAsia="zh-CN" w:bidi="ar"/>
          <w14:textFill>
            <w14:solidFill>
              <w14:schemeClr w14:val="tx1"/>
            </w14:solidFill>
          </w14:textFill>
        </w:rPr>
        <w:t>“</w:t>
      </w:r>
      <w:r>
        <w:rPr>
          <w:rFonts w:hint="default" w:ascii="仿宋_GB2312" w:hAnsi="Times New Roman" w:eastAsia="仿宋_GB2312" w:cs="宋体"/>
          <w:color w:val="000000" w:themeColor="text1"/>
          <w:spacing w:val="0"/>
          <w:sz w:val="32"/>
          <w:szCs w:val="32"/>
          <w:highlight w:val="none"/>
          <w:u w:val="none" w:color="auto"/>
          <w:lang w:bidi="ar"/>
          <w14:textFill>
            <w14:solidFill>
              <w14:schemeClr w14:val="tx1"/>
            </w14:solidFill>
          </w14:textFill>
        </w:rPr>
        <w:t>三大球</w:t>
      </w:r>
      <w:r>
        <w:rPr>
          <w:rFonts w:hint="eastAsia" w:ascii="仿宋_GB2312" w:eastAsia="仿宋_GB2312" w:cs="宋体"/>
          <w:color w:val="000000" w:themeColor="text1"/>
          <w:spacing w:val="0"/>
          <w:sz w:val="32"/>
          <w:szCs w:val="32"/>
          <w:highlight w:val="none"/>
          <w:u w:val="none" w:color="auto"/>
          <w:lang w:eastAsia="zh-CN" w:bidi="ar"/>
          <w14:textFill>
            <w14:solidFill>
              <w14:schemeClr w14:val="tx1"/>
            </w14:solidFill>
          </w14:textFill>
        </w:rPr>
        <w:t>”</w:t>
      </w:r>
      <w:r>
        <w:rPr>
          <w:rFonts w:hint="default" w:ascii="仿宋_GB2312" w:hAnsi="Times New Roman" w:eastAsia="仿宋_GB2312" w:cs="宋体"/>
          <w:color w:val="000000" w:themeColor="text1"/>
          <w:spacing w:val="0"/>
          <w:sz w:val="32"/>
          <w:szCs w:val="32"/>
          <w:highlight w:val="none"/>
          <w:u w:val="none" w:color="auto"/>
          <w:lang w:bidi="ar"/>
          <w14:textFill>
            <w14:solidFill>
              <w14:schemeClr w14:val="tx1"/>
            </w14:solidFill>
          </w14:textFill>
        </w:rPr>
        <w:t>等球类运动发展，举办心理健康教育活动</w:t>
      </w:r>
      <w:r>
        <w:rPr>
          <w:rFonts w:hint="eastAsia" w:ascii="仿宋_GB2312" w:eastAsia="仿宋_GB2312" w:cs="宋体"/>
          <w:color w:val="000000" w:themeColor="text1"/>
          <w:spacing w:val="0"/>
          <w:sz w:val="32"/>
          <w:szCs w:val="32"/>
          <w:highlight w:val="none"/>
          <w:u w:val="none" w:color="auto"/>
          <w:lang w:eastAsia="zh-CN" w:bidi="ar"/>
          <w14:textFill>
            <w14:solidFill>
              <w14:schemeClr w14:val="tx1"/>
            </w14:solidFill>
          </w14:textFill>
        </w:rPr>
        <w:t>，</w:t>
      </w:r>
      <w:r>
        <w:rPr>
          <w:rFonts w:hint="default" w:ascii="仿宋_GB2312" w:hAnsi="Times New Roman" w:eastAsia="仿宋_GB2312" w:cs="宋体"/>
          <w:color w:val="000000" w:themeColor="text1"/>
          <w:spacing w:val="0"/>
          <w:sz w:val="32"/>
          <w:szCs w:val="32"/>
          <w:highlight w:val="none"/>
          <w:u w:val="none" w:color="auto"/>
          <w:lang w:bidi="ar"/>
          <w14:textFill>
            <w14:solidFill>
              <w14:schemeClr w14:val="tx1"/>
            </w14:solidFill>
          </w14:textFill>
        </w:rPr>
        <w:t>五育并举提升育人质量</w:t>
      </w:r>
      <w:r>
        <w:rPr>
          <w:rFonts w:hint="eastAsia" w:ascii="仿宋_GB2312" w:hAnsi="仿宋_GB2312" w:eastAsia="仿宋_GB2312" w:cs="仿宋_GB2312"/>
          <w:color w:val="000000" w:themeColor="text1"/>
          <w:spacing w:val="0"/>
          <w:sz w:val="32"/>
          <w:szCs w:val="32"/>
          <w:highlight w:val="none"/>
          <w:u w:val="none" w:color="auto"/>
          <w:lang w:eastAsia="zh-CN" w:bidi="ar"/>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推进</w:t>
      </w:r>
      <w:r>
        <w:rPr>
          <w:rFonts w:hint="eastAsia" w:ascii="仿宋_GB2312" w:hAnsi="仿宋_GB2312" w:eastAsia="仿宋_GB2312" w:cs="Times New Roman"/>
          <w:color w:val="000000" w:themeColor="text1"/>
          <w:spacing w:val="0"/>
          <w:w w:val="100"/>
          <w:sz w:val="32"/>
          <w:szCs w:val="32"/>
          <w:highlight w:val="none"/>
          <w:u w:val="none" w:color="auto"/>
          <w:lang w:eastAsia="zh-CN"/>
          <w14:textFill>
            <w14:solidFill>
              <w14:schemeClr w14:val="tx1"/>
            </w14:solidFill>
          </w14:textFill>
        </w:rPr>
        <w:t>家校社协同育人，</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高质量建设海淀家长学校，推出家长大讲堂课程，辐射家长</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近60</w:t>
      </w:r>
      <w:r>
        <w:rPr>
          <w:rFonts w:hint="eastAsia" w:ascii="仿宋_GB2312" w:hAnsi="仿宋_GB2312" w:eastAsia="仿宋_GB2312" w:cs="Times New Roman"/>
          <w:color w:val="000000" w:themeColor="text1"/>
          <w:spacing w:val="0"/>
          <w:w w:val="100"/>
          <w:sz w:val="32"/>
          <w:szCs w:val="32"/>
          <w:highlight w:val="none"/>
          <w:u w:val="none" w:color="auto"/>
          <w14:textFill>
            <w14:solidFill>
              <w14:schemeClr w14:val="tx1"/>
            </w14:solidFill>
          </w14:textFill>
        </w:rPr>
        <w:t>万人次。</w:t>
      </w:r>
    </w:p>
    <w:p w14:paraId="05334ECC">
      <w:pPr>
        <w:pStyle w:val="32"/>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专栏4：海淀区43家公办中小学集团化办学名单</w:t>
      </w:r>
    </w:p>
    <w:tbl>
      <w:tblPr>
        <w:tblStyle w:val="25"/>
        <w:tblW w:w="884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761"/>
        <w:gridCol w:w="1231"/>
        <w:gridCol w:w="3111"/>
        <w:gridCol w:w="3741"/>
      </w:tblGrid>
      <w:tr w14:paraId="591651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tblHeader/>
          <w:jc w:val="center"/>
        </w:trPr>
        <w:tc>
          <w:tcPr>
            <w:tcW w:w="761" w:type="dxa"/>
            <w:tcBorders>
              <w:tl2br w:val="nil"/>
              <w:tr2bl w:val="nil"/>
            </w:tcBorders>
            <w:noWrap w:val="0"/>
            <w:vAlign w:val="center"/>
          </w:tcPr>
          <w:p w14:paraId="09FEB67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bidi="ar"/>
                <w14:textFill>
                  <w14:solidFill>
                    <w14:schemeClr w14:val="tx1"/>
                  </w14:solidFill>
                </w14:textFill>
              </w:rPr>
              <w:t>序号</w:t>
            </w:r>
          </w:p>
        </w:tc>
        <w:tc>
          <w:tcPr>
            <w:tcW w:w="1231" w:type="dxa"/>
            <w:tcBorders>
              <w:tl2br w:val="nil"/>
              <w:tr2bl w:val="nil"/>
            </w:tcBorders>
            <w:noWrap w:val="0"/>
            <w:vAlign w:val="center"/>
          </w:tcPr>
          <w:p w14:paraId="6FC00BF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kern w:val="0"/>
                <w:sz w:val="24"/>
                <w:szCs w:val="24"/>
                <w:lang w:eastAsia="zh-CN" w:bidi="ar"/>
                <w14:textFill>
                  <w14:solidFill>
                    <w14:schemeClr w14:val="tx1"/>
                  </w14:solidFill>
                </w14:textFill>
              </w:rPr>
            </w:pPr>
            <w:r>
              <w:rPr>
                <w:rFonts w:hint="eastAsia" w:ascii="宋体" w:hAnsi="宋体" w:eastAsia="宋体" w:cs="宋体"/>
                <w:b/>
                <w:bCs/>
                <w:color w:val="000000" w:themeColor="text1"/>
                <w:kern w:val="0"/>
                <w:sz w:val="24"/>
                <w:szCs w:val="24"/>
                <w:lang w:eastAsia="zh-CN" w:bidi="ar"/>
                <w14:textFill>
                  <w14:solidFill>
                    <w14:schemeClr w14:val="tx1"/>
                  </w14:solidFill>
                </w14:textFill>
              </w:rPr>
              <w:t>时间</w:t>
            </w:r>
          </w:p>
        </w:tc>
        <w:tc>
          <w:tcPr>
            <w:tcW w:w="3111" w:type="dxa"/>
            <w:tcBorders>
              <w:tl2br w:val="nil"/>
              <w:tr2bl w:val="nil"/>
            </w:tcBorders>
            <w:noWrap w:val="0"/>
            <w:vAlign w:val="center"/>
          </w:tcPr>
          <w:p w14:paraId="62471E5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bidi="ar"/>
                <w14:textFill>
                  <w14:solidFill>
                    <w14:schemeClr w14:val="tx1"/>
                  </w14:solidFill>
                </w14:textFill>
              </w:rPr>
              <w:t>集团名称</w:t>
            </w:r>
          </w:p>
        </w:tc>
        <w:tc>
          <w:tcPr>
            <w:tcW w:w="3741" w:type="dxa"/>
            <w:tcBorders>
              <w:tl2br w:val="nil"/>
              <w:tr2bl w:val="nil"/>
            </w:tcBorders>
            <w:noWrap w:val="0"/>
            <w:vAlign w:val="center"/>
          </w:tcPr>
          <w:p w14:paraId="067E61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成员校</w:t>
            </w:r>
          </w:p>
        </w:tc>
      </w:tr>
      <w:tr w14:paraId="5FD72F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1" w:type="dxa"/>
            <w:tcBorders>
              <w:tl2br w:val="nil"/>
              <w:tr2bl w:val="nil"/>
            </w:tcBorders>
            <w:shd w:val="clear" w:color="auto" w:fill="auto"/>
            <w:noWrap w:val="0"/>
            <w:vAlign w:val="center"/>
          </w:tcPr>
          <w:p w14:paraId="43DC2FB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43</w:t>
            </w:r>
          </w:p>
        </w:tc>
        <w:tc>
          <w:tcPr>
            <w:tcW w:w="1231" w:type="dxa"/>
            <w:tcBorders>
              <w:tl2br w:val="nil"/>
              <w:tr2bl w:val="nil"/>
            </w:tcBorders>
            <w:shd w:val="clear" w:color="auto" w:fill="auto"/>
            <w:noWrap w:val="0"/>
            <w:vAlign w:val="center"/>
          </w:tcPr>
          <w:p w14:paraId="7D6CD2F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2024年</w:t>
            </w:r>
          </w:p>
        </w:tc>
        <w:tc>
          <w:tcPr>
            <w:tcW w:w="3111" w:type="dxa"/>
            <w:tcBorders>
              <w:tl2br w:val="nil"/>
              <w:tr2bl w:val="nil"/>
            </w:tcBorders>
            <w:shd w:val="clear" w:color="auto" w:fill="auto"/>
            <w:noWrap w:val="0"/>
            <w:vAlign w:val="center"/>
          </w:tcPr>
          <w:p w14:paraId="1D5E45E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北京教育科学研究院实验</w:t>
            </w:r>
          </w:p>
          <w:p w14:paraId="73F9022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学校教育集团</w:t>
            </w:r>
          </w:p>
        </w:tc>
        <w:tc>
          <w:tcPr>
            <w:tcW w:w="3741" w:type="dxa"/>
            <w:tcBorders>
              <w:tl2br w:val="nil"/>
              <w:tr2bl w:val="nil"/>
            </w:tcBorders>
            <w:shd w:val="clear" w:color="auto" w:fill="auto"/>
            <w:noWrap w:val="0"/>
            <w:vAlign w:val="center"/>
          </w:tcPr>
          <w:p w14:paraId="2B30B7C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北京市育英中学</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p>
          <w:p w14:paraId="07A5FF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北京教育科学研究院实验小学</w:t>
            </w:r>
          </w:p>
        </w:tc>
      </w:tr>
      <w:tr w14:paraId="70B1AE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1" w:type="dxa"/>
            <w:tcBorders>
              <w:tl2br w:val="nil"/>
              <w:tr2bl w:val="nil"/>
            </w:tcBorders>
            <w:noWrap w:val="0"/>
            <w:vAlign w:val="center"/>
          </w:tcPr>
          <w:p w14:paraId="128F2B02">
            <w:pPr>
              <w:widowControl/>
              <w:spacing w:line="240" w:lineRule="auto"/>
              <w:jc w:val="center"/>
              <w:textAlignment w:val="cente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1-42</w:t>
            </w:r>
          </w:p>
        </w:tc>
        <w:tc>
          <w:tcPr>
            <w:tcW w:w="1231" w:type="dxa"/>
            <w:tcBorders>
              <w:tl2br w:val="nil"/>
              <w:tr2bl w:val="nil"/>
            </w:tcBorders>
            <w:noWrap w:val="0"/>
            <w:vAlign w:val="center"/>
          </w:tcPr>
          <w:p w14:paraId="2B32587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2019年</w:t>
            </w:r>
            <w:r>
              <w:rPr>
                <w:rFonts w:hint="eastAsia" w:ascii="宋体" w:hAnsi="宋体" w:cs="宋体"/>
                <w:b w:val="0"/>
                <w:bCs w:val="0"/>
                <w:color w:val="000000" w:themeColor="text1"/>
                <w:kern w:val="0"/>
                <w:sz w:val="24"/>
                <w:szCs w:val="24"/>
                <w:lang w:val="en-US"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2023年</w:t>
            </w:r>
          </w:p>
        </w:tc>
        <w:tc>
          <w:tcPr>
            <w:tcW w:w="6852" w:type="dxa"/>
            <w:gridSpan w:val="2"/>
            <w:tcBorders>
              <w:tl2br w:val="nil"/>
              <w:tr2bl w:val="nil"/>
            </w:tcBorders>
            <w:noWrap w:val="0"/>
            <w:vAlign w:val="center"/>
          </w:tcPr>
          <w:p w14:paraId="0C34AF0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bidi="ar"/>
                <w14:textFill>
                  <w14:solidFill>
                    <w14:schemeClr w14:val="tx1"/>
                  </w14:solidFill>
                </w14:textFill>
              </w:rPr>
              <w:t>中国人民大学附属中学</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清华大学附属中学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首都师范大学附属中学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北京大学附属中学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北京航空航天大学实验学校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北京市十一学校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北京市第一</w:t>
            </w:r>
            <w:r>
              <w:rPr>
                <w:rFonts w:hint="eastAsia" w:ascii="宋体" w:hAnsi="宋体" w:eastAsia="宋体" w:cs="宋体"/>
                <w:b w:val="0"/>
                <w:bCs w:val="0"/>
                <w:color w:val="000000" w:themeColor="text1"/>
                <w:sz w:val="24"/>
                <w:szCs w:val="24"/>
                <w:u w:val="none"/>
                <w:lang w:bidi="ar"/>
                <w14:textFill>
                  <w14:solidFill>
                    <w14:schemeClr w14:val="tx1"/>
                  </w14:solidFill>
                </w14:textFill>
              </w:rPr>
              <w:t>〇</w:t>
            </w:r>
            <w:r>
              <w:rPr>
                <w:rStyle w:val="39"/>
                <w:rFonts w:hint="eastAsia" w:ascii="宋体" w:hAnsi="宋体" w:eastAsia="宋体" w:cs="宋体"/>
                <w:b w:val="0"/>
                <w:bCs w:val="0"/>
                <w:color w:val="000000" w:themeColor="text1"/>
                <w:sz w:val="24"/>
                <w:szCs w:val="24"/>
                <w:lang w:bidi="ar"/>
                <w14:textFill>
                  <w14:solidFill>
                    <w14:schemeClr w14:val="tx1"/>
                  </w14:solidFill>
                </w14:textFill>
              </w:rPr>
              <w:t>一中学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北京交通大学附属中学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北京市八一学校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北京市育英学校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北京理工大学附属中学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北京市中关村中学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北京市第十九中学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北京市第二十中学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北京市海淀区教师进修学校附属实验学校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北京市第五十七中学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北京市海淀北部新区实验学校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中国人民大学附属中学分校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十一龙樾实验中学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北师大实验中学海淀集团</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北京市海淀区教师进修学校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海淀教育科学研究院未来学校</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中国人民大学附属小学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北京大学附属小学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清华大学附属小学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北京市海淀区中关村第一小学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北京市海淀区中关村第二小学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北京市海淀区中关村第三小学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北京市海淀区五一小学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北京市海淀区翠微小学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北京石油学院附属小学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北京市海淀区实验小学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北京市海淀区红英小学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北京市海淀区第二实验小学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中国农业科学院附属小学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北京市海淀区上地实验小学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首都师范大学附属小学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北京市海淀区玉泉小学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北京市海淀区万泉小学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北京林业大学附属小学</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首都师范大学实验小学</w:t>
            </w:r>
            <w:r>
              <w:rPr>
                <w:rFonts w:hint="eastAsia" w:ascii="宋体" w:hAnsi="宋体" w:eastAsia="宋体" w:cs="宋体"/>
                <w:b w:val="0"/>
                <w:bCs w:val="0"/>
                <w:color w:val="000000" w:themeColor="text1"/>
                <w:kern w:val="0"/>
                <w:sz w:val="24"/>
                <w:szCs w:val="24"/>
                <w:lang w:eastAsia="zh-CN" w:bidi="ar"/>
                <w14:textFill>
                  <w14:solidFill>
                    <w14:schemeClr w14:val="tx1"/>
                  </w14:solidFill>
                </w14:textFill>
              </w:rPr>
              <w:t>、</w:t>
            </w:r>
            <w:r>
              <w:rPr>
                <w:rFonts w:hint="eastAsia" w:ascii="宋体" w:hAnsi="宋体" w:eastAsia="宋体" w:cs="宋体"/>
                <w:b w:val="0"/>
                <w:bCs w:val="0"/>
                <w:color w:val="000000" w:themeColor="text1"/>
                <w:kern w:val="0"/>
                <w:sz w:val="24"/>
                <w:szCs w:val="24"/>
                <w:lang w:bidi="ar"/>
                <w14:textFill>
                  <w14:solidFill>
                    <w14:schemeClr w14:val="tx1"/>
                  </w14:solidFill>
                </w14:textFill>
              </w:rPr>
              <w:t>北京市海淀区七一小学</w:t>
            </w:r>
          </w:p>
        </w:tc>
      </w:tr>
    </w:tbl>
    <w:p w14:paraId="06C30B63">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民生保障网扎密扎牢。</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促进就业困难人员就业1.5</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3</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万人</w:t>
      </w:r>
      <w:r>
        <w:rPr>
          <w:rFonts w:hint="eastAsia" w:ascii="仿宋_GB2312" w:hAnsi="Calibri" w:eastAsia="仿宋_GB2312" w:cs="Times New Roman"/>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挖潜岗位供给，开展招聘活动</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277</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场，提供岗位</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15.2</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万个，其中高校毕业生岗位</w:t>
      </w:r>
      <w:r>
        <w:rPr>
          <w:rFonts w:hint="eastAsia" w:ascii="仿宋_GB2312"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t>7.1</w:t>
      </w:r>
      <w:r>
        <w:rPr>
          <w:rFonts w:hint="eastAsia" w:ascii="仿宋_GB2312" w:hAnsi="Calibri" w:eastAsia="仿宋_GB2312" w:cs="Times New Roman"/>
          <w:color w:val="000000" w:themeColor="text1"/>
          <w:spacing w:val="0"/>
          <w:sz w:val="32"/>
          <w:szCs w:val="32"/>
          <w:highlight w:val="none"/>
          <w:u w:val="none" w:color="auto"/>
          <w14:textFill>
            <w14:solidFill>
              <w14:schemeClr w14:val="tx1"/>
            </w14:solidFill>
          </w14:textFill>
        </w:rPr>
        <w:t>万个。推出助力高校大学生就业实习十条措施，开展“菁才海淀”实习活动，搭建“才聚云端”实习实训岗位平台，高校毕业生就业率达97%。</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在中关村东升科技园、四季慧谷产业园园区设立“社保服务合作网点”，覆盖企业</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1100</w:t>
      </w:r>
      <w:r>
        <w:rPr>
          <w:rFonts w:hint="eastAsia" w:ascii="仿宋_GB2312" w:hAnsi="仿宋_GB2312" w:eastAsia="仿宋_GB2312" w:cs="仿宋_GB2312"/>
          <w:color w:val="000000" w:themeColor="text1"/>
          <w:spacing w:val="0"/>
          <w:w w:val="100"/>
          <w:sz w:val="32"/>
          <w:szCs w:val="32"/>
          <w:highlight w:val="none"/>
          <w:u w:val="none" w:color="auto"/>
          <w14:textFill>
            <w14:solidFill>
              <w14:schemeClr w14:val="tx1"/>
            </w14:solidFill>
          </w14:textFill>
        </w:rPr>
        <w:t>余家，在全市首次实现社保业务办理进驻企业园区</w:t>
      </w:r>
      <w:r>
        <w:rPr>
          <w:rFonts w:hint="eastAsia" w:ascii="仿宋_GB2312" w:hAnsi="仿宋_GB2312" w:eastAsia="仿宋_GB2312" w:cs="仿宋_GB2312"/>
          <w:color w:val="000000" w:themeColor="text1"/>
          <w:spacing w:val="0"/>
          <w:w w:val="100"/>
          <w:sz w:val="32"/>
          <w:szCs w:val="32"/>
          <w:highlight w:val="none"/>
          <w:u w:val="none" w:color="auto"/>
          <w:lang w:eastAsia="zh-CN"/>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全面落实社会救助政策，新增救助对象</w:t>
      </w:r>
      <w:r>
        <w:rPr>
          <w:rFonts w:hint="eastAsia" w:ascii="仿宋_GB2312" w:hAnsi="Calibri" w:eastAsia="仿宋_GB2312" w:cs="仿宋_GB2312"/>
          <w:color w:val="000000" w:themeColor="text1"/>
          <w:spacing w:val="0"/>
          <w:kern w:val="2"/>
          <w:sz w:val="32"/>
          <w:szCs w:val="32"/>
          <w:lang w:val="en-US" w:eastAsia="zh-CN" w:bidi="ar"/>
          <w14:textFill>
            <w14:solidFill>
              <w14:schemeClr w14:val="tx1"/>
            </w14:solidFill>
          </w14:textFill>
        </w:rPr>
        <w:t>367户528人</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，开展临时救助506人次，发放各类救助资金约1.18亿元，</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为有需求的困难群众开展个案帮扶服务231例，</w:t>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为1360名特殊困难人员开展服务类社会救助</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海淀区儿童福利院（综合福利院）揭牌运营。</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居住条件持续改善，</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中关村东区改造项目A组团完成签约并实现土护降先行，搁置近5年的中国地质大学家属区危旧房改造项目完成拆除；</w:t>
      </w:r>
      <w:r>
        <w:rPr>
          <w:rFonts w:hint="eastAsia" w:ascii="仿宋_GB2312" w:hAnsi="仿宋_GB2312" w:eastAsia="仿宋_GB2312" w:cs="仿宋_GB2312"/>
          <w:b w:val="0"/>
          <w:bCs/>
          <w:color w:val="000000" w:themeColor="text1"/>
          <w:spacing w:val="0"/>
          <w:sz w:val="32"/>
          <w:szCs w:val="32"/>
          <w:highlight w:val="none"/>
          <w:u w:val="none" w:color="auto"/>
          <w:lang w:val="en-US" w:eastAsia="zh-CN"/>
          <w14:textFill>
            <w14:solidFill>
              <w14:schemeClr w14:val="tx1"/>
            </w14:solidFill>
          </w14:textFill>
        </w:rPr>
        <w:t>实现开工建设保障房2338套、竣工5372套</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Calibri" w:eastAsia="仿宋_GB2312" w:cs="Times New Roman"/>
          <w:color w:val="000000" w:themeColor="text1"/>
          <w:spacing w:val="0"/>
          <w:sz w:val="32"/>
          <w:szCs w:val="32"/>
          <w:lang w:val="en-US" w:eastAsia="zh-CN"/>
          <w14:textFill>
            <w14:solidFill>
              <w14:schemeClr w14:val="tx1"/>
            </w14:solidFill>
          </w14:textFill>
        </w:rPr>
        <w:t>提供文龙家园等</w:t>
      </w:r>
      <w:r>
        <w:rPr>
          <w:rFonts w:hint="default" w:ascii="仿宋_GB2312" w:hAnsi="Calibri" w:eastAsia="仿宋_GB2312" w:cs="Times New Roman"/>
          <w:color w:val="000000" w:themeColor="text1"/>
          <w:spacing w:val="0"/>
          <w:sz w:val="32"/>
          <w:szCs w:val="32"/>
          <w:lang w:val="en" w:eastAsia="zh-CN"/>
          <w14:textFill>
            <w14:solidFill>
              <w14:schemeClr w14:val="tx1"/>
            </w14:solidFill>
          </w14:textFill>
        </w:rPr>
        <w:t>18</w:t>
      </w:r>
      <w:r>
        <w:rPr>
          <w:rFonts w:hint="eastAsia" w:ascii="仿宋_GB2312" w:hAnsi="Calibri" w:eastAsia="仿宋_GB2312" w:cs="Times New Roman"/>
          <w:color w:val="000000" w:themeColor="text1"/>
          <w:spacing w:val="0"/>
          <w:sz w:val="32"/>
          <w:szCs w:val="32"/>
          <w:lang w:val="en-US" w:eastAsia="zh-CN"/>
          <w14:textFill>
            <w14:solidFill>
              <w14:schemeClr w14:val="tx1"/>
            </w14:solidFill>
          </w14:textFill>
        </w:rPr>
        <w:t>个项目4727套次房源配租，公租房备案家庭总体保障率83.97%；</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老旧小区综合整治开工172个小区、473.28万平方米，完工78</w:t>
      </w:r>
      <w:r>
        <w:rPr>
          <w:rFonts w:hint="eastAsia" w:ascii="仿宋_GB2312" w:hAnsi="仿宋_GB2312" w:eastAsia="仿宋_GB2312" w:cs="仿宋_GB2312"/>
          <w:b w:val="0"/>
          <w:bCs w:val="0"/>
          <w:color w:val="000000" w:themeColor="text1"/>
          <w:spacing w:val="2"/>
          <w:kern w:val="2"/>
          <w:sz w:val="32"/>
          <w:szCs w:val="32"/>
          <w:highlight w:val="none"/>
          <w:u w:val="none" w:color="auto"/>
          <w:lang w:val="en-US" w:eastAsia="zh-CN" w:bidi="ar-SA"/>
          <w14:textFill>
            <w14:solidFill>
              <w14:schemeClr w14:val="tx1"/>
            </w14:solidFill>
          </w14:textFill>
        </w:rPr>
        <w:t>个小区、195.63万平方米；老楼加装电梯已新开工280部，完工202</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部。</w:t>
      </w:r>
    </w:p>
    <w:p w14:paraId="1A1DFC0E">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公共服务体系日趋完善。</w:t>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完善医养结合服务体系，探索形成多元化医养结合服务模式，扎实开展综合连续老年健康服务，入选首批“全国医养结合示范市（县、区）”。完善养老服务体系建设，</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新建社区养老服务驿站25家，总数达160家，服务床位数38086张，服务233.2万人次；完成适老化改造5410户，助浴设备配置2000户；新备案养老助餐点72家，承诺制助餐点108个，可提供助餐服务的内部食堂61家，社区（村）养老供给不断增强；建成15家街镇区域养老服务中心</w:t>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Times New Roman"/>
          <w:color w:val="000000" w:themeColor="text1"/>
          <w:spacing w:val="0"/>
          <w:w w:val="100"/>
          <w:sz w:val="32"/>
          <w:szCs w:val="32"/>
          <w:highlight w:val="none"/>
          <w:u w:val="none" w:color="auto"/>
          <w:lang w:val="en-US" w:eastAsia="zh-CN"/>
          <w14:textFill>
            <w14:solidFill>
              <w14:schemeClr w14:val="tx1"/>
            </w14:solidFill>
          </w14:textFill>
        </w:rPr>
        <w:t>打造“海淀食堂”品牌，现已挂牌运营30家</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14:textFill>
            <w14:solidFill>
              <w14:schemeClr w14:val="tx1"/>
            </w14:solidFill>
          </w14:textFill>
        </w:rPr>
        <w:t>成功入选第三批建设国家儿童友好城市名单</w:t>
      </w:r>
      <w:r>
        <w:rPr>
          <w:rFonts w:hint="eastAsia" w:ascii="仿宋_GB2312" w:hAnsi="仿宋_GB2312" w:eastAsia="仿宋_GB2312" w:cs="仿宋_GB2312"/>
          <w:color w:val="000000" w:themeColor="text1"/>
          <w:spacing w:val="0"/>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kern w:val="0"/>
          <w:sz w:val="32"/>
          <w:szCs w:val="32"/>
          <w:lang w:val="en-US" w:eastAsia="zh-CN"/>
          <w14:textFill>
            <w14:solidFill>
              <w14:schemeClr w14:val="tx1"/>
            </w14:solidFill>
          </w14:textFill>
        </w:rPr>
        <w:t>从五方面形成任务台账并推进落实。</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大力推进托育服务体系建设，增加普惠托育供给，全区提供托育服务的机构和幼儿园托班共</w:t>
      </w:r>
      <w:r>
        <w:rPr>
          <w:rFonts w:hint="eastAsia" w:ascii="仿宋_GB2312"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1</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95</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家，提供托位数</w:t>
      </w:r>
      <w:r>
        <w:rPr>
          <w:rFonts w:hint="eastAsia" w:ascii="仿宋_GB2312"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7</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073</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个</w:t>
      </w:r>
      <w:r>
        <w:rPr>
          <w:rFonts w:hint="eastAsia" w:ascii="Calibri"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普惠托育服务试点托育机构和幼儿园</w:t>
      </w:r>
      <w:r>
        <w:rPr>
          <w:rFonts w:hint="eastAsia" w:ascii="仿宋_GB2312"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1</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31</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家，提供普惠托位</w:t>
      </w:r>
      <w:r>
        <w:rPr>
          <w:rFonts w:hint="eastAsia" w:ascii="仿宋_GB2312"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4</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334</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个，普惠托位占比</w:t>
      </w:r>
      <w:r>
        <w:rPr>
          <w:rFonts w:hint="eastAsia" w:ascii="仿宋_GB2312" w:hAnsi="Calibri" w:eastAsia="仿宋_GB2312" w:cs="Times New Roman"/>
          <w:bCs/>
          <w:color w:val="000000" w:themeColor="text1"/>
          <w:spacing w:val="0"/>
          <w:sz w:val="32"/>
          <w:szCs w:val="32"/>
          <w:highlight w:val="none"/>
          <w:u w:val="none" w:color="auto"/>
          <w:shd w:val="clear" w:color="auto" w:fill="FFFFFF"/>
          <w:lang w:eastAsia="zh-CN"/>
          <w14:textFill>
            <w14:solidFill>
              <w14:schemeClr w14:val="tx1"/>
            </w14:solidFill>
          </w14:textFill>
        </w:rPr>
        <w:t>6</w:t>
      </w:r>
      <w:r>
        <w:rPr>
          <w:rFonts w:hint="eastAsia" w:ascii="仿宋_GB2312" w:hAnsi="Calibri" w:eastAsia="仿宋_GB2312" w:cs="Times New Roman"/>
          <w:bCs/>
          <w:color w:val="000000" w:themeColor="text1"/>
          <w:spacing w:val="0"/>
          <w:sz w:val="32"/>
          <w:szCs w:val="32"/>
          <w:highlight w:val="none"/>
          <w:u w:val="none" w:color="auto"/>
          <w:shd w:val="clear" w:color="auto" w:fill="FFFFFF"/>
          <w:lang w:val="en-US" w:eastAsia="zh-CN"/>
          <w14:textFill>
            <w14:solidFill>
              <w14:schemeClr w14:val="tx1"/>
            </w14:solidFill>
          </w14:textFill>
        </w:rPr>
        <w:t>1</w:t>
      </w:r>
      <w:r>
        <w:rPr>
          <w:rFonts w:hint="eastAsia" w:ascii="仿宋_GB2312" w:hAnsi="Calibri" w:eastAsia="仿宋_GB2312" w:cs="Times New Roman"/>
          <w:bCs/>
          <w:color w:val="000000" w:themeColor="text1"/>
          <w:spacing w:val="0"/>
          <w:sz w:val="32"/>
          <w:szCs w:val="32"/>
          <w:highlight w:val="none"/>
          <w:u w:val="none" w:color="auto"/>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highlight w:val="none"/>
          <w:u w:val="none" w:color="auto"/>
          <w:lang w:val="en-US" w:eastAsia="zh-CN"/>
          <w14:textFill>
            <w14:solidFill>
              <w14:schemeClr w14:val="tx1"/>
            </w14:solidFill>
          </w14:textFill>
        </w:rPr>
        <w:t>进一步完善全民健身服务体系，新建完成31处专项场地和2724件全民健身器材，</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开展全民体育健身活动13031场次、参与人数131.5万人次，举办TNF100北京越野跑挑战赛、首届海淀马拉松赛事区级赛事活动14场。</w:t>
      </w:r>
    </w:p>
    <w:p w14:paraId="4CDE0B42">
      <w:pPr>
        <w:pStyle w:val="32"/>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color w:val="000000" w:themeColor="text1"/>
          <w:sz w:val="28"/>
          <w:szCs w:val="28"/>
          <w:highlight w:val="none"/>
          <w:lang w:val="en-US" w:eastAsia="zh-CN"/>
          <w14:textFill>
            <w14:solidFill>
              <w14:schemeClr w14:val="tx1"/>
            </w14:solidFill>
          </w14:textFill>
        </w:rPr>
      </w:pPr>
      <w:r>
        <w:rPr>
          <w:rFonts w:hint="eastAsia"/>
          <w:color w:val="000000" w:themeColor="text1"/>
          <w:sz w:val="28"/>
          <w:szCs w:val="28"/>
          <w:highlight w:val="none"/>
          <w:lang w:val="en-US" w:eastAsia="zh-CN"/>
          <w14:textFill>
            <w14:solidFill>
              <w14:schemeClr w14:val="tx1"/>
            </w14:solidFill>
          </w14:textFill>
        </w:rPr>
        <w:t>专栏5：海淀区30家已挂牌海淀食堂</w:t>
      </w:r>
    </w:p>
    <w:tbl>
      <w:tblPr>
        <w:tblStyle w:val="25"/>
        <w:tblW w:w="97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716"/>
        <w:gridCol w:w="3140"/>
        <w:gridCol w:w="4914"/>
      </w:tblGrid>
      <w:tr w14:paraId="73E688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716" w:type="dxa"/>
            <w:tcBorders>
              <w:tl2br w:val="nil"/>
              <w:tr2bl w:val="nil"/>
            </w:tcBorders>
            <w:noWrap w:val="0"/>
            <w:vAlign w:val="center"/>
          </w:tcPr>
          <w:p w14:paraId="13515D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sz w:val="24"/>
                <w:szCs w:val="24"/>
                <w:lang w:eastAsia="zh-CN"/>
              </w:rPr>
            </w:pPr>
            <w:r>
              <w:rPr>
                <w:rFonts w:hint="eastAsia" w:ascii="宋体" w:hAnsi="宋体" w:eastAsia="宋体" w:cs="宋体"/>
                <w:b/>
                <w:bCs/>
                <w:color w:val="000000"/>
                <w:kern w:val="0"/>
                <w:sz w:val="24"/>
                <w:szCs w:val="24"/>
                <w:lang w:eastAsia="zh-CN" w:bidi="ar"/>
              </w:rPr>
              <w:t>所属街道</w:t>
            </w:r>
          </w:p>
        </w:tc>
        <w:tc>
          <w:tcPr>
            <w:tcW w:w="3140" w:type="dxa"/>
            <w:tcBorders>
              <w:tl2br w:val="nil"/>
              <w:tr2bl w:val="nil"/>
            </w:tcBorders>
            <w:noWrap w:val="0"/>
            <w:vAlign w:val="center"/>
          </w:tcPr>
          <w:p w14:paraId="3EA4B90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sz w:val="24"/>
                <w:szCs w:val="24"/>
                <w:lang w:eastAsia="zh-CN"/>
              </w:rPr>
            </w:pPr>
            <w:r>
              <w:rPr>
                <w:rFonts w:hint="eastAsia" w:ascii="宋体" w:hAnsi="宋体" w:eastAsia="宋体" w:cs="宋体"/>
                <w:b/>
                <w:bCs/>
                <w:color w:val="000000"/>
                <w:kern w:val="0"/>
                <w:sz w:val="24"/>
                <w:szCs w:val="24"/>
                <w:lang w:eastAsia="zh-CN" w:bidi="ar"/>
              </w:rPr>
              <w:t>点位名称</w:t>
            </w:r>
          </w:p>
        </w:tc>
        <w:tc>
          <w:tcPr>
            <w:tcW w:w="4914" w:type="dxa"/>
            <w:tcBorders>
              <w:tl2br w:val="nil"/>
              <w:tr2bl w:val="nil"/>
            </w:tcBorders>
            <w:noWrap w:val="0"/>
            <w:vAlign w:val="center"/>
          </w:tcPr>
          <w:p w14:paraId="4C0B9C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color w:val="000000"/>
                <w:sz w:val="24"/>
                <w:szCs w:val="24"/>
                <w:lang w:eastAsia="zh-CN"/>
              </w:rPr>
            </w:pPr>
            <w:r>
              <w:rPr>
                <w:rFonts w:hint="eastAsia" w:ascii="宋体" w:hAnsi="宋体" w:eastAsia="宋体" w:cs="宋体"/>
                <w:b/>
                <w:bCs/>
                <w:color w:val="000000"/>
                <w:kern w:val="0"/>
                <w:sz w:val="24"/>
                <w:szCs w:val="24"/>
                <w:lang w:eastAsia="zh-CN" w:bidi="ar"/>
              </w:rPr>
              <w:t>详细地址</w:t>
            </w:r>
          </w:p>
        </w:tc>
      </w:tr>
      <w:tr w14:paraId="2A4EAD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7D70EE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八里庄街道</w:t>
            </w:r>
          </w:p>
        </w:tc>
        <w:tc>
          <w:tcPr>
            <w:tcW w:w="3140" w:type="dxa"/>
            <w:tcBorders>
              <w:tl2br w:val="nil"/>
              <w:tr2bl w:val="nil"/>
            </w:tcBorders>
            <w:noWrap w:val="0"/>
            <w:vAlign w:val="center"/>
          </w:tcPr>
          <w:p w14:paraId="0BFBDD1B">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超市发华光商厦店</w:t>
            </w:r>
          </w:p>
        </w:tc>
        <w:tc>
          <w:tcPr>
            <w:tcW w:w="4914" w:type="dxa"/>
            <w:tcBorders>
              <w:tl2br w:val="nil"/>
              <w:tr2bl w:val="nil"/>
            </w:tcBorders>
            <w:noWrap w:val="0"/>
            <w:vAlign w:val="center"/>
          </w:tcPr>
          <w:p w14:paraId="3B09377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kern w:val="0"/>
                <w:sz w:val="24"/>
                <w:szCs w:val="24"/>
                <w:lang w:eastAsia="zh-CN" w:bidi="ar"/>
              </w:rPr>
            </w:pPr>
            <w:r>
              <w:rPr>
                <w:rFonts w:hint="eastAsia" w:ascii="宋体" w:hAnsi="宋体" w:eastAsia="宋体" w:cs="宋体"/>
                <w:b w:val="0"/>
                <w:bCs w:val="0"/>
                <w:color w:val="000000"/>
                <w:kern w:val="0"/>
                <w:sz w:val="24"/>
                <w:szCs w:val="24"/>
                <w:lang w:bidi="ar"/>
              </w:rPr>
              <w:t>华光商厦四层美食城</w:t>
            </w:r>
          </w:p>
        </w:tc>
      </w:tr>
      <w:tr w14:paraId="773C57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134" w:hRule="atLeast"/>
          <w:jc w:val="center"/>
        </w:trPr>
        <w:tc>
          <w:tcPr>
            <w:tcW w:w="1716" w:type="dxa"/>
            <w:tcBorders>
              <w:tl2br w:val="nil"/>
              <w:tr2bl w:val="nil"/>
            </w:tcBorders>
            <w:noWrap w:val="0"/>
            <w:vAlign w:val="center"/>
          </w:tcPr>
          <w:p w14:paraId="69787A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kern w:val="0"/>
                <w:sz w:val="24"/>
                <w:szCs w:val="24"/>
                <w:lang w:bidi="ar"/>
              </w:rPr>
            </w:pPr>
            <w:r>
              <w:rPr>
                <w:rFonts w:hint="eastAsia" w:ascii="宋体" w:hAnsi="宋体" w:eastAsia="宋体" w:cs="宋体"/>
                <w:b w:val="0"/>
                <w:bCs w:val="0"/>
                <w:color w:val="000000"/>
                <w:kern w:val="0"/>
                <w:sz w:val="24"/>
                <w:szCs w:val="24"/>
                <w:lang w:bidi="ar"/>
              </w:rPr>
              <w:t>八里庄街道</w:t>
            </w:r>
          </w:p>
        </w:tc>
        <w:tc>
          <w:tcPr>
            <w:tcW w:w="3140" w:type="dxa"/>
            <w:tcBorders>
              <w:tl2br w:val="nil"/>
              <w:tr2bl w:val="nil"/>
            </w:tcBorders>
            <w:noWrap w:val="0"/>
            <w:vAlign w:val="center"/>
          </w:tcPr>
          <w:p w14:paraId="69279D6A">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color w:val="000000"/>
                <w:kern w:val="0"/>
                <w:sz w:val="24"/>
                <w:highlight w:val="none"/>
                <w:lang w:bidi="ar"/>
              </w:rPr>
              <w:t>裕友大厦海淀食堂</w:t>
            </w:r>
          </w:p>
        </w:tc>
        <w:tc>
          <w:tcPr>
            <w:tcW w:w="4914" w:type="dxa"/>
            <w:tcBorders>
              <w:tl2br w:val="nil"/>
              <w:tr2bl w:val="nil"/>
            </w:tcBorders>
            <w:noWrap w:val="0"/>
            <w:vAlign w:val="center"/>
          </w:tcPr>
          <w:p w14:paraId="0471E2F9">
            <w:pPr>
              <w:keepNext w:val="0"/>
              <w:keepLines w:val="0"/>
              <w:pageBreakBefore w:val="0"/>
              <w:widowControl/>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kern w:val="0"/>
                <w:sz w:val="24"/>
                <w:szCs w:val="24"/>
                <w:lang w:bidi="ar"/>
              </w:rPr>
            </w:pPr>
            <w:r>
              <w:rPr>
                <w:rFonts w:hint="eastAsia" w:ascii="宋体" w:hAnsi="宋体" w:eastAsia="宋体" w:cs="宋体"/>
                <w:color w:val="000000"/>
                <w:kern w:val="0"/>
                <w:sz w:val="24"/>
                <w:lang w:bidi="ar"/>
              </w:rPr>
              <w:t>八里庄街道水云居小区裕友大厦一层</w:t>
            </w:r>
          </w:p>
        </w:tc>
      </w:tr>
      <w:tr w14:paraId="2699A1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077051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紫竹院街道</w:t>
            </w:r>
          </w:p>
        </w:tc>
        <w:tc>
          <w:tcPr>
            <w:tcW w:w="3140" w:type="dxa"/>
            <w:tcBorders>
              <w:tl2br w:val="nil"/>
              <w:tr2bl w:val="nil"/>
            </w:tcBorders>
            <w:noWrap w:val="0"/>
            <w:vAlign w:val="center"/>
          </w:tcPr>
          <w:p w14:paraId="5BD48C4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color w:val="000000"/>
                <w:kern w:val="0"/>
                <w:sz w:val="24"/>
                <w:szCs w:val="24"/>
                <w:lang w:bidi="ar"/>
              </w:rPr>
              <w:t>紫竹院区域养老服务中心店</w:t>
            </w:r>
          </w:p>
        </w:tc>
        <w:tc>
          <w:tcPr>
            <w:tcW w:w="4914" w:type="dxa"/>
            <w:tcBorders>
              <w:tl2br w:val="nil"/>
              <w:tr2bl w:val="nil"/>
            </w:tcBorders>
            <w:noWrap w:val="0"/>
            <w:vAlign w:val="center"/>
          </w:tcPr>
          <w:p w14:paraId="026E153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中关村南大街17号魏公村斜街链家马路对面</w:t>
            </w:r>
          </w:p>
        </w:tc>
      </w:tr>
      <w:tr w14:paraId="52B1AE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716" w:type="dxa"/>
            <w:tcBorders>
              <w:tl2br w:val="nil"/>
              <w:tr2bl w:val="nil"/>
            </w:tcBorders>
            <w:noWrap w:val="0"/>
            <w:vAlign w:val="center"/>
          </w:tcPr>
          <w:p w14:paraId="02C1FA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紫竹院街道</w:t>
            </w:r>
          </w:p>
        </w:tc>
        <w:tc>
          <w:tcPr>
            <w:tcW w:w="3140" w:type="dxa"/>
            <w:tcBorders>
              <w:tl2br w:val="nil"/>
              <w:tr2bl w:val="nil"/>
            </w:tcBorders>
            <w:noWrap w:val="0"/>
            <w:vAlign w:val="center"/>
          </w:tcPr>
          <w:p w14:paraId="473856F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lang w:bidi="ar"/>
              </w:rPr>
              <w:t>广元大厦爱帮食养家宴</w:t>
            </w:r>
          </w:p>
        </w:tc>
        <w:tc>
          <w:tcPr>
            <w:tcW w:w="4914" w:type="dxa"/>
            <w:tcBorders>
              <w:tl2br w:val="nil"/>
              <w:tr2bl w:val="nil"/>
            </w:tcBorders>
            <w:noWrap w:val="0"/>
            <w:vAlign w:val="center"/>
          </w:tcPr>
          <w:p w14:paraId="66EB303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北</w:t>
            </w:r>
            <w:r>
              <w:rPr>
                <w:rFonts w:hint="eastAsia" w:ascii="宋体" w:hAnsi="宋体" w:eastAsia="宋体" w:cs="宋体"/>
                <w:color w:val="000000"/>
                <w:spacing w:val="-6"/>
                <w:kern w:val="0"/>
                <w:sz w:val="24"/>
                <w:lang w:bidi="ar"/>
              </w:rPr>
              <w:t>京市海淀区紫竹院路广源闸5号一层8158号</w:t>
            </w:r>
          </w:p>
        </w:tc>
      </w:tr>
      <w:tr w14:paraId="7F6F0E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2C388C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中关村街道</w:t>
            </w:r>
          </w:p>
        </w:tc>
        <w:tc>
          <w:tcPr>
            <w:tcW w:w="3140" w:type="dxa"/>
            <w:tcBorders>
              <w:tl2br w:val="nil"/>
              <w:tr2bl w:val="nil"/>
            </w:tcBorders>
            <w:noWrap w:val="0"/>
            <w:vAlign w:val="center"/>
          </w:tcPr>
          <w:p w14:paraId="21C3AA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京东科技大厦食堂店</w:t>
            </w:r>
          </w:p>
        </w:tc>
        <w:tc>
          <w:tcPr>
            <w:tcW w:w="4914" w:type="dxa"/>
            <w:tcBorders>
              <w:tl2br w:val="nil"/>
              <w:tr2bl w:val="nil"/>
            </w:tcBorders>
            <w:noWrap w:val="0"/>
            <w:vAlign w:val="center"/>
          </w:tcPr>
          <w:p w14:paraId="0CC2DD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海淀区知春路76号京东科技大厦地下一层</w:t>
            </w:r>
          </w:p>
        </w:tc>
      </w:tr>
      <w:tr w14:paraId="477F91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E8D8E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中关村街道</w:t>
            </w:r>
          </w:p>
        </w:tc>
        <w:tc>
          <w:tcPr>
            <w:tcW w:w="3140" w:type="dxa"/>
            <w:tcBorders>
              <w:tl2br w:val="nil"/>
              <w:tr2bl w:val="nil"/>
            </w:tcBorders>
            <w:noWrap w:val="0"/>
            <w:vAlign w:val="center"/>
          </w:tcPr>
          <w:p w14:paraId="1AA78F3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highlight w:val="none"/>
                <w:u w:val="none"/>
                <w:lang w:val="en-US" w:eastAsia="zh-CN" w:bidi="ar"/>
              </w:rPr>
            </w:pPr>
            <w:r>
              <w:rPr>
                <w:rFonts w:hint="eastAsia" w:ascii="宋体" w:hAnsi="宋体" w:eastAsia="宋体" w:cs="宋体"/>
                <w:color w:val="000000"/>
                <w:kern w:val="0"/>
                <w:sz w:val="24"/>
                <w:highlight w:val="none"/>
                <w:lang w:bidi="ar"/>
              </w:rPr>
              <w:t>中关村区域养老服务中心</w:t>
            </w:r>
          </w:p>
        </w:tc>
        <w:tc>
          <w:tcPr>
            <w:tcW w:w="4914" w:type="dxa"/>
            <w:tcBorders>
              <w:tl2br w:val="nil"/>
              <w:tr2bl w:val="nil"/>
            </w:tcBorders>
            <w:noWrap w:val="0"/>
            <w:vAlign w:val="center"/>
          </w:tcPr>
          <w:p w14:paraId="28D91FF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双榆树25号</w:t>
            </w:r>
          </w:p>
        </w:tc>
      </w:tr>
      <w:tr w14:paraId="650DA9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77D0B8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青龙桥街道</w:t>
            </w:r>
          </w:p>
        </w:tc>
        <w:tc>
          <w:tcPr>
            <w:tcW w:w="3140" w:type="dxa"/>
            <w:tcBorders>
              <w:tl2br w:val="nil"/>
              <w:tr2bl w:val="nil"/>
            </w:tcBorders>
            <w:noWrap w:val="0"/>
            <w:vAlign w:val="center"/>
          </w:tcPr>
          <w:p w14:paraId="5AC1494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大有尚品社区餐厅店</w:t>
            </w:r>
          </w:p>
        </w:tc>
        <w:tc>
          <w:tcPr>
            <w:tcW w:w="4914" w:type="dxa"/>
            <w:tcBorders>
              <w:tl2br w:val="nil"/>
              <w:tr2bl w:val="nil"/>
            </w:tcBorders>
            <w:noWrap w:val="0"/>
            <w:vAlign w:val="center"/>
          </w:tcPr>
          <w:p w14:paraId="4FFE35E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kern w:val="0"/>
                <w:sz w:val="24"/>
                <w:szCs w:val="24"/>
                <w:lang w:eastAsia="zh-CN" w:bidi="ar"/>
              </w:rPr>
            </w:pPr>
            <w:r>
              <w:rPr>
                <w:rFonts w:hint="eastAsia" w:ascii="宋体" w:hAnsi="宋体" w:eastAsia="宋体" w:cs="宋体"/>
                <w:i w:val="0"/>
                <w:color w:val="000000"/>
                <w:kern w:val="0"/>
                <w:sz w:val="24"/>
                <w:szCs w:val="24"/>
                <w:u w:val="none"/>
                <w:lang w:val="en-US" w:eastAsia="zh-CN" w:bidi="ar"/>
              </w:rPr>
              <w:t>大有北里148号楼2层</w:t>
            </w:r>
          </w:p>
        </w:tc>
      </w:tr>
      <w:tr w14:paraId="248F46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43CD14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西三旗街道</w:t>
            </w:r>
          </w:p>
        </w:tc>
        <w:tc>
          <w:tcPr>
            <w:tcW w:w="3140" w:type="dxa"/>
            <w:tcBorders>
              <w:tl2br w:val="nil"/>
              <w:tr2bl w:val="nil"/>
            </w:tcBorders>
            <w:noWrap w:val="0"/>
            <w:vAlign w:val="center"/>
          </w:tcPr>
          <w:p w14:paraId="32B65CD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color w:val="000000"/>
                <w:kern w:val="0"/>
                <w:sz w:val="24"/>
                <w:szCs w:val="24"/>
                <w:highlight w:val="none"/>
                <w:lang w:bidi="ar"/>
              </w:rPr>
              <w:t>西三旗街道中央厨房店</w:t>
            </w:r>
          </w:p>
        </w:tc>
        <w:tc>
          <w:tcPr>
            <w:tcW w:w="4914" w:type="dxa"/>
            <w:tcBorders>
              <w:tl2br w:val="nil"/>
              <w:tr2bl w:val="nil"/>
            </w:tcBorders>
            <w:noWrap w:val="0"/>
            <w:vAlign w:val="center"/>
          </w:tcPr>
          <w:p w14:paraId="748828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highlight w:val="none"/>
              </w:rPr>
            </w:pPr>
            <w:r>
              <w:rPr>
                <w:rFonts w:hint="eastAsia" w:ascii="宋体" w:hAnsi="宋体" w:eastAsia="宋体" w:cs="宋体"/>
                <w:color w:val="000000"/>
                <w:kern w:val="0"/>
                <w:sz w:val="24"/>
                <w:szCs w:val="24"/>
                <w:highlight w:val="none"/>
                <w:lang w:bidi="ar"/>
              </w:rPr>
              <w:t>西三旗街道建材城东二里15号楼一层</w:t>
            </w:r>
          </w:p>
        </w:tc>
      </w:tr>
      <w:tr w14:paraId="49F53B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260BB5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西三旗街道</w:t>
            </w:r>
          </w:p>
        </w:tc>
        <w:tc>
          <w:tcPr>
            <w:tcW w:w="3140" w:type="dxa"/>
            <w:tcBorders>
              <w:tl2br w:val="nil"/>
              <w:tr2bl w:val="nil"/>
            </w:tcBorders>
            <w:noWrap w:val="0"/>
            <w:vAlign w:val="center"/>
          </w:tcPr>
          <w:p w14:paraId="1CFD094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超市发美欣店</w:t>
            </w:r>
          </w:p>
        </w:tc>
        <w:tc>
          <w:tcPr>
            <w:tcW w:w="4914" w:type="dxa"/>
            <w:tcBorders>
              <w:tl2br w:val="nil"/>
              <w:tr2bl w:val="nil"/>
            </w:tcBorders>
            <w:noWrap w:val="0"/>
            <w:vAlign w:val="center"/>
          </w:tcPr>
          <w:p w14:paraId="11CBB85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color w:val="000000"/>
                <w:kern w:val="0"/>
                <w:sz w:val="24"/>
                <w:szCs w:val="24"/>
                <w:lang w:bidi="ar"/>
              </w:rPr>
              <w:t>清河小营东路美欣家园</w:t>
            </w:r>
          </w:p>
        </w:tc>
      </w:tr>
      <w:tr w14:paraId="2559F9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46FCCA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田村路街道</w:t>
            </w:r>
          </w:p>
        </w:tc>
        <w:tc>
          <w:tcPr>
            <w:tcW w:w="3140" w:type="dxa"/>
            <w:tcBorders>
              <w:tl2br w:val="nil"/>
              <w:tr2bl w:val="nil"/>
            </w:tcBorders>
            <w:noWrap w:val="0"/>
            <w:vAlign w:val="center"/>
          </w:tcPr>
          <w:p w14:paraId="6704BDF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color w:val="000000"/>
                <w:kern w:val="0"/>
                <w:sz w:val="24"/>
                <w:szCs w:val="24"/>
                <w:lang w:bidi="ar"/>
              </w:rPr>
              <w:t>田村路街道区域养老中心店</w:t>
            </w:r>
          </w:p>
        </w:tc>
        <w:tc>
          <w:tcPr>
            <w:tcW w:w="4914" w:type="dxa"/>
            <w:tcBorders>
              <w:tl2br w:val="nil"/>
              <w:tr2bl w:val="nil"/>
            </w:tcBorders>
            <w:noWrap w:val="0"/>
            <w:vAlign w:val="center"/>
          </w:tcPr>
          <w:p w14:paraId="3D38FBB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西郊半壁店59号院</w:t>
            </w:r>
          </w:p>
        </w:tc>
      </w:tr>
      <w:tr w14:paraId="0F29C8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038C1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永定路街道</w:t>
            </w:r>
          </w:p>
        </w:tc>
        <w:tc>
          <w:tcPr>
            <w:tcW w:w="3140" w:type="dxa"/>
            <w:tcBorders>
              <w:tl2br w:val="nil"/>
              <w:tr2bl w:val="nil"/>
            </w:tcBorders>
            <w:noWrap w:val="0"/>
            <w:vAlign w:val="center"/>
          </w:tcPr>
          <w:p w14:paraId="7FDCF5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玉泉路超市发店</w:t>
            </w:r>
          </w:p>
        </w:tc>
        <w:tc>
          <w:tcPr>
            <w:tcW w:w="4914" w:type="dxa"/>
            <w:tcBorders>
              <w:tl2br w:val="nil"/>
              <w:tr2bl w:val="nil"/>
            </w:tcBorders>
            <w:noWrap w:val="0"/>
            <w:vAlign w:val="center"/>
          </w:tcPr>
          <w:p w14:paraId="75EE6F2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复兴路42号玉泉路地铁南侧</w:t>
            </w:r>
          </w:p>
        </w:tc>
      </w:tr>
      <w:tr w14:paraId="50BBEE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88D5D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东升镇</w:t>
            </w:r>
          </w:p>
        </w:tc>
        <w:tc>
          <w:tcPr>
            <w:tcW w:w="3140" w:type="dxa"/>
            <w:tcBorders>
              <w:tl2br w:val="nil"/>
              <w:tr2bl w:val="nil"/>
            </w:tcBorders>
            <w:noWrap w:val="0"/>
            <w:vAlign w:val="center"/>
          </w:tcPr>
          <w:p w14:paraId="761926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宝盛社区餐厅店</w:t>
            </w:r>
          </w:p>
        </w:tc>
        <w:tc>
          <w:tcPr>
            <w:tcW w:w="4914" w:type="dxa"/>
            <w:tcBorders>
              <w:tl2br w:val="nil"/>
              <w:tr2bl w:val="nil"/>
            </w:tcBorders>
            <w:noWrap w:val="0"/>
            <w:vAlign w:val="center"/>
          </w:tcPr>
          <w:p w14:paraId="61737AD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北</w:t>
            </w:r>
            <w:r>
              <w:rPr>
                <w:rFonts w:hint="eastAsia" w:ascii="宋体" w:hAnsi="宋体" w:eastAsia="宋体" w:cs="宋体"/>
                <w:i w:val="0"/>
                <w:color w:val="000000"/>
                <w:spacing w:val="-11"/>
                <w:kern w:val="0"/>
                <w:sz w:val="24"/>
                <w:szCs w:val="24"/>
                <w:u w:val="none"/>
                <w:lang w:val="en-US" w:eastAsia="zh-CN" w:bidi="ar"/>
              </w:rPr>
              <w:t>京市海淀区黑泉路8号1幢宝盛广场A座2层</w:t>
            </w:r>
          </w:p>
        </w:tc>
      </w:tr>
      <w:tr w14:paraId="533BC6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63E3D2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四季青镇</w:t>
            </w:r>
          </w:p>
        </w:tc>
        <w:tc>
          <w:tcPr>
            <w:tcW w:w="3140" w:type="dxa"/>
            <w:tcBorders>
              <w:tl2br w:val="nil"/>
              <w:tr2bl w:val="nil"/>
            </w:tcBorders>
            <w:noWrap w:val="0"/>
            <w:vAlign w:val="center"/>
          </w:tcPr>
          <w:p w14:paraId="2DE5225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东冉村店</w:t>
            </w:r>
          </w:p>
        </w:tc>
        <w:tc>
          <w:tcPr>
            <w:tcW w:w="4914" w:type="dxa"/>
            <w:tcBorders>
              <w:tl2br w:val="nil"/>
              <w:tr2bl w:val="nil"/>
            </w:tcBorders>
            <w:noWrap w:val="0"/>
            <w:vAlign w:val="center"/>
          </w:tcPr>
          <w:p w14:paraId="3202203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highlight w:val="none"/>
                <w:u w:val="none"/>
                <w:lang w:val="en-US" w:eastAsia="zh-CN" w:bidi="ar"/>
              </w:rPr>
              <w:t>四季青镇常润路30号东冉新村小区底商</w:t>
            </w:r>
          </w:p>
        </w:tc>
      </w:tr>
      <w:tr w14:paraId="2F1A9F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210" w:hRule="atLeast"/>
          <w:jc w:val="center"/>
        </w:trPr>
        <w:tc>
          <w:tcPr>
            <w:tcW w:w="1716" w:type="dxa"/>
            <w:tcBorders>
              <w:tl2br w:val="nil"/>
              <w:tr2bl w:val="nil"/>
            </w:tcBorders>
            <w:noWrap w:val="0"/>
            <w:vAlign w:val="center"/>
          </w:tcPr>
          <w:p w14:paraId="0ACE58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auto"/>
                <w:kern w:val="0"/>
                <w:sz w:val="24"/>
                <w:szCs w:val="24"/>
                <w:u w:val="none"/>
                <w:lang w:val="en-US" w:eastAsia="zh-CN" w:bidi="ar"/>
              </w:rPr>
              <w:t>上地街道</w:t>
            </w:r>
          </w:p>
        </w:tc>
        <w:tc>
          <w:tcPr>
            <w:tcW w:w="3140" w:type="dxa"/>
            <w:tcBorders>
              <w:tl2br w:val="nil"/>
              <w:tr2bl w:val="nil"/>
            </w:tcBorders>
            <w:noWrap w:val="0"/>
            <w:vAlign w:val="center"/>
          </w:tcPr>
          <w:p w14:paraId="4A21BB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auto"/>
                <w:kern w:val="0"/>
                <w:sz w:val="24"/>
                <w:szCs w:val="24"/>
                <w:u w:val="none"/>
                <w:lang w:val="en-US" w:eastAsia="zh-CN" w:bidi="ar"/>
              </w:rPr>
              <w:t>熊猫范店</w:t>
            </w:r>
          </w:p>
        </w:tc>
        <w:tc>
          <w:tcPr>
            <w:tcW w:w="4914" w:type="dxa"/>
            <w:tcBorders>
              <w:tl2br w:val="nil"/>
              <w:tr2bl w:val="nil"/>
            </w:tcBorders>
            <w:noWrap w:val="0"/>
            <w:vAlign w:val="center"/>
          </w:tcPr>
          <w:p w14:paraId="2229D1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东北旺西路尚东数字山谷A区3号楼B1层</w:t>
            </w:r>
          </w:p>
        </w:tc>
      </w:tr>
      <w:tr w14:paraId="496224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30C41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苏家坨镇</w:t>
            </w:r>
          </w:p>
        </w:tc>
        <w:tc>
          <w:tcPr>
            <w:tcW w:w="3140" w:type="dxa"/>
            <w:tcBorders>
              <w:tl2br w:val="nil"/>
              <w:tr2bl w:val="nil"/>
            </w:tcBorders>
            <w:noWrap w:val="0"/>
            <w:vAlign w:val="center"/>
          </w:tcPr>
          <w:p w14:paraId="1089D3B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color w:val="000000"/>
                <w:kern w:val="0"/>
                <w:sz w:val="24"/>
                <w:lang w:bidi="ar"/>
              </w:rPr>
              <w:t>柳林村店</w:t>
            </w:r>
          </w:p>
        </w:tc>
        <w:tc>
          <w:tcPr>
            <w:tcW w:w="4914" w:type="dxa"/>
            <w:tcBorders>
              <w:tl2br w:val="nil"/>
              <w:tr2bl w:val="nil"/>
            </w:tcBorders>
            <w:noWrap w:val="0"/>
            <w:vAlign w:val="center"/>
          </w:tcPr>
          <w:p w14:paraId="6736F1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000000"/>
                <w:sz w:val="24"/>
                <w:szCs w:val="24"/>
              </w:rPr>
            </w:pPr>
            <w:r>
              <w:rPr>
                <w:rFonts w:hint="eastAsia" w:ascii="宋体" w:hAnsi="宋体" w:eastAsia="宋体" w:cs="宋体"/>
                <w:i w:val="0"/>
                <w:color w:val="000000"/>
                <w:kern w:val="0"/>
                <w:sz w:val="24"/>
                <w:szCs w:val="24"/>
                <w:u w:val="none"/>
                <w:lang w:val="en-US" w:eastAsia="zh-CN" w:bidi="ar"/>
              </w:rPr>
              <w:t>苏家坨镇柳林村河北三区74号</w:t>
            </w:r>
          </w:p>
        </w:tc>
      </w:tr>
      <w:tr w14:paraId="50EA41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5FA4C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苏家坨镇</w:t>
            </w:r>
          </w:p>
        </w:tc>
        <w:tc>
          <w:tcPr>
            <w:tcW w:w="3140" w:type="dxa"/>
            <w:tcBorders>
              <w:tl2br w:val="nil"/>
              <w:tr2bl w:val="nil"/>
            </w:tcBorders>
            <w:noWrap w:val="0"/>
            <w:vAlign w:val="center"/>
          </w:tcPr>
          <w:p w14:paraId="04A69AB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草厂店</w:t>
            </w:r>
          </w:p>
        </w:tc>
        <w:tc>
          <w:tcPr>
            <w:tcW w:w="4914" w:type="dxa"/>
            <w:tcBorders>
              <w:tl2br w:val="nil"/>
              <w:tr2bl w:val="nil"/>
            </w:tcBorders>
            <w:noWrap w:val="0"/>
            <w:vAlign w:val="center"/>
          </w:tcPr>
          <w:p w14:paraId="2EB2E44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海淀草厂村201号</w:t>
            </w:r>
          </w:p>
        </w:tc>
      </w:tr>
      <w:tr w14:paraId="4BE01B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67" w:hRule="atLeast"/>
          <w:jc w:val="center"/>
        </w:trPr>
        <w:tc>
          <w:tcPr>
            <w:tcW w:w="1716" w:type="dxa"/>
            <w:tcBorders>
              <w:tl2br w:val="nil"/>
              <w:tr2bl w:val="nil"/>
            </w:tcBorders>
            <w:noWrap w:val="0"/>
            <w:vAlign w:val="center"/>
          </w:tcPr>
          <w:p w14:paraId="16CBC0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上庄镇</w:t>
            </w:r>
          </w:p>
        </w:tc>
        <w:tc>
          <w:tcPr>
            <w:tcW w:w="3140" w:type="dxa"/>
            <w:tcBorders>
              <w:tl2br w:val="nil"/>
              <w:tr2bl w:val="nil"/>
            </w:tcBorders>
            <w:noWrap w:val="0"/>
            <w:vAlign w:val="center"/>
          </w:tcPr>
          <w:p w14:paraId="4C056C4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szCs w:val="24"/>
                <w:lang w:bidi="ar"/>
              </w:rPr>
            </w:pPr>
            <w:r>
              <w:rPr>
                <w:rFonts w:hint="eastAsia" w:ascii="宋体" w:hAnsi="宋体" w:eastAsia="宋体" w:cs="宋体"/>
                <w:i w:val="0"/>
                <w:color w:val="000000"/>
                <w:kern w:val="0"/>
                <w:sz w:val="24"/>
                <w:szCs w:val="24"/>
                <w:u w:val="none"/>
                <w:lang w:val="en-US" w:eastAsia="zh-CN" w:bidi="ar"/>
              </w:rPr>
              <w:t>金手勺店</w:t>
            </w:r>
          </w:p>
        </w:tc>
        <w:tc>
          <w:tcPr>
            <w:tcW w:w="4914" w:type="dxa"/>
            <w:tcBorders>
              <w:tl2br w:val="nil"/>
              <w:tr2bl w:val="nil"/>
            </w:tcBorders>
            <w:noWrap w:val="0"/>
            <w:vAlign w:val="center"/>
          </w:tcPr>
          <w:p w14:paraId="5DE7986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北京市海淀区上庄乡上庄村西郊农场综合商店2幢</w:t>
            </w:r>
          </w:p>
        </w:tc>
      </w:tr>
      <w:tr w14:paraId="514288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12293E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上庄镇</w:t>
            </w:r>
          </w:p>
        </w:tc>
        <w:tc>
          <w:tcPr>
            <w:tcW w:w="3140" w:type="dxa"/>
            <w:tcBorders>
              <w:tl2br w:val="nil"/>
              <w:tr2bl w:val="nil"/>
            </w:tcBorders>
            <w:noWrap w:val="0"/>
            <w:vAlign w:val="center"/>
          </w:tcPr>
          <w:p w14:paraId="0181D7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szCs w:val="24"/>
                <w:lang w:bidi="ar"/>
              </w:rPr>
            </w:pPr>
            <w:r>
              <w:rPr>
                <w:rFonts w:hint="eastAsia" w:ascii="宋体" w:hAnsi="宋体" w:eastAsia="宋体" w:cs="宋体"/>
                <w:i w:val="0"/>
                <w:color w:val="000000"/>
                <w:kern w:val="0"/>
                <w:sz w:val="24"/>
                <w:szCs w:val="24"/>
                <w:u w:val="none"/>
                <w:lang w:val="en-US" w:eastAsia="zh-CN" w:bidi="ar"/>
              </w:rPr>
              <w:t>东小营店</w:t>
            </w:r>
          </w:p>
        </w:tc>
        <w:tc>
          <w:tcPr>
            <w:tcW w:w="4914" w:type="dxa"/>
            <w:tcBorders>
              <w:tl2br w:val="nil"/>
              <w:tr2bl w:val="nil"/>
            </w:tcBorders>
            <w:noWrap w:val="0"/>
            <w:vAlign w:val="center"/>
          </w:tcPr>
          <w:p w14:paraId="38AB599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东小营北</w:t>
            </w:r>
          </w:p>
        </w:tc>
      </w:tr>
      <w:tr w14:paraId="227B7F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103" w:hRule="atLeast"/>
          <w:jc w:val="center"/>
        </w:trPr>
        <w:tc>
          <w:tcPr>
            <w:tcW w:w="1716" w:type="dxa"/>
            <w:tcBorders>
              <w:tl2br w:val="nil"/>
              <w:tr2bl w:val="nil"/>
            </w:tcBorders>
            <w:noWrap w:val="0"/>
            <w:vAlign w:val="center"/>
          </w:tcPr>
          <w:p w14:paraId="584F60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香山街道</w:t>
            </w:r>
          </w:p>
        </w:tc>
        <w:tc>
          <w:tcPr>
            <w:tcW w:w="3140" w:type="dxa"/>
            <w:tcBorders>
              <w:tl2br w:val="nil"/>
              <w:tr2bl w:val="nil"/>
            </w:tcBorders>
            <w:noWrap w:val="0"/>
            <w:vAlign w:val="center"/>
          </w:tcPr>
          <w:p w14:paraId="27BB49E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海淀食堂70后红餐厅</w:t>
            </w:r>
          </w:p>
        </w:tc>
        <w:tc>
          <w:tcPr>
            <w:tcW w:w="4914" w:type="dxa"/>
            <w:tcBorders>
              <w:tl2br w:val="nil"/>
              <w:tr2bl w:val="nil"/>
            </w:tcBorders>
            <w:noWrap w:val="0"/>
            <w:vAlign w:val="center"/>
          </w:tcPr>
          <w:p w14:paraId="224ECAF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北京市海淀区香山一棵松路甲1号</w:t>
            </w:r>
          </w:p>
        </w:tc>
      </w:tr>
      <w:tr w14:paraId="1DEB8E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133" w:hRule="atLeast"/>
          <w:jc w:val="center"/>
        </w:trPr>
        <w:tc>
          <w:tcPr>
            <w:tcW w:w="1716" w:type="dxa"/>
            <w:tcBorders>
              <w:tl2br w:val="nil"/>
              <w:tr2bl w:val="nil"/>
            </w:tcBorders>
            <w:noWrap w:val="0"/>
            <w:vAlign w:val="center"/>
          </w:tcPr>
          <w:p w14:paraId="6570BA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花园路街道</w:t>
            </w:r>
          </w:p>
        </w:tc>
        <w:tc>
          <w:tcPr>
            <w:tcW w:w="3140" w:type="dxa"/>
            <w:tcBorders>
              <w:tl2br w:val="nil"/>
              <w:tr2bl w:val="nil"/>
            </w:tcBorders>
            <w:noWrap w:val="0"/>
            <w:vAlign w:val="center"/>
          </w:tcPr>
          <w:p w14:paraId="3CFFC10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花园路小食堂点</w:t>
            </w:r>
          </w:p>
        </w:tc>
        <w:tc>
          <w:tcPr>
            <w:tcW w:w="4914" w:type="dxa"/>
            <w:tcBorders>
              <w:tl2br w:val="nil"/>
              <w:tr2bl w:val="nil"/>
            </w:tcBorders>
            <w:noWrap w:val="0"/>
            <w:vAlign w:val="center"/>
          </w:tcPr>
          <w:p w14:paraId="65CEB9B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北京市海淀区花园路2号平房</w:t>
            </w:r>
          </w:p>
        </w:tc>
      </w:tr>
      <w:tr w14:paraId="5C6E74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210" w:hRule="atLeast"/>
          <w:jc w:val="center"/>
        </w:trPr>
        <w:tc>
          <w:tcPr>
            <w:tcW w:w="1716" w:type="dxa"/>
            <w:tcBorders>
              <w:tl2br w:val="nil"/>
              <w:tr2bl w:val="nil"/>
            </w:tcBorders>
            <w:noWrap w:val="0"/>
            <w:vAlign w:val="center"/>
          </w:tcPr>
          <w:p w14:paraId="7AED14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4"/>
                <w:lang w:bidi="ar"/>
              </w:rPr>
              <w:t>曙光街道</w:t>
            </w:r>
          </w:p>
        </w:tc>
        <w:tc>
          <w:tcPr>
            <w:tcW w:w="3140" w:type="dxa"/>
            <w:tcBorders>
              <w:tl2br w:val="nil"/>
              <w:tr2bl w:val="nil"/>
            </w:tcBorders>
            <w:noWrap w:val="0"/>
            <w:vAlign w:val="center"/>
          </w:tcPr>
          <w:p w14:paraId="337A9FF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lang w:bidi="ar"/>
              </w:rPr>
              <w:t>爽食菜馆店</w:t>
            </w:r>
          </w:p>
        </w:tc>
        <w:tc>
          <w:tcPr>
            <w:tcW w:w="4914" w:type="dxa"/>
            <w:tcBorders>
              <w:tl2br w:val="nil"/>
              <w:tr2bl w:val="nil"/>
            </w:tcBorders>
            <w:noWrap w:val="0"/>
            <w:vAlign w:val="center"/>
          </w:tcPr>
          <w:p w14:paraId="5B5759C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lang w:bidi="ar"/>
              </w:rPr>
              <w:t>西四环北路10号院2号楼</w:t>
            </w:r>
          </w:p>
        </w:tc>
      </w:tr>
      <w:tr w14:paraId="361777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69845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万寿路街道</w:t>
            </w:r>
          </w:p>
        </w:tc>
        <w:tc>
          <w:tcPr>
            <w:tcW w:w="3140" w:type="dxa"/>
            <w:tcBorders>
              <w:tl2br w:val="nil"/>
              <w:tr2bl w:val="nil"/>
            </w:tcBorders>
            <w:noWrap w:val="0"/>
            <w:vAlign w:val="center"/>
          </w:tcPr>
          <w:p w14:paraId="32A16E8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惠民餐厅</w:t>
            </w:r>
          </w:p>
        </w:tc>
        <w:tc>
          <w:tcPr>
            <w:tcW w:w="4914" w:type="dxa"/>
            <w:tcBorders>
              <w:tl2br w:val="nil"/>
              <w:tr2bl w:val="nil"/>
            </w:tcBorders>
            <w:noWrap w:val="0"/>
            <w:vAlign w:val="center"/>
          </w:tcPr>
          <w:p w14:paraId="4170854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复兴路61号恒信商务大厦地下一层</w:t>
            </w:r>
          </w:p>
        </w:tc>
      </w:tr>
      <w:tr w14:paraId="728FD0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00F1B6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北下关街道</w:t>
            </w:r>
          </w:p>
        </w:tc>
        <w:tc>
          <w:tcPr>
            <w:tcW w:w="3140" w:type="dxa"/>
            <w:tcBorders>
              <w:tl2br w:val="nil"/>
              <w:tr2bl w:val="nil"/>
            </w:tcBorders>
            <w:noWrap w:val="0"/>
            <w:vAlign w:val="center"/>
          </w:tcPr>
          <w:p w14:paraId="22C311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北下关街道养老服务中心</w:t>
            </w:r>
          </w:p>
        </w:tc>
        <w:tc>
          <w:tcPr>
            <w:tcW w:w="4914" w:type="dxa"/>
            <w:tcBorders>
              <w:tl2br w:val="nil"/>
              <w:tr2bl w:val="nil"/>
            </w:tcBorders>
            <w:noWrap w:val="0"/>
            <w:vAlign w:val="center"/>
          </w:tcPr>
          <w:p w14:paraId="12A740A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四道口路5号院1号楼1层</w:t>
            </w:r>
          </w:p>
        </w:tc>
      </w:tr>
      <w:tr w14:paraId="5103FB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3E6000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北下关街道</w:t>
            </w:r>
          </w:p>
        </w:tc>
        <w:tc>
          <w:tcPr>
            <w:tcW w:w="3140" w:type="dxa"/>
            <w:tcBorders>
              <w:tl2br w:val="nil"/>
              <w:tr2bl w:val="nil"/>
            </w:tcBorders>
            <w:noWrap w:val="0"/>
            <w:vAlign w:val="center"/>
          </w:tcPr>
          <w:p w14:paraId="465156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农科院职工食堂</w:t>
            </w:r>
          </w:p>
        </w:tc>
        <w:tc>
          <w:tcPr>
            <w:tcW w:w="4914" w:type="dxa"/>
            <w:tcBorders>
              <w:tl2br w:val="nil"/>
              <w:tr2bl w:val="nil"/>
            </w:tcBorders>
            <w:noWrap w:val="0"/>
            <w:vAlign w:val="center"/>
          </w:tcPr>
          <w:p w14:paraId="48FB31E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中关村南大街12号四区115栋</w:t>
            </w:r>
          </w:p>
        </w:tc>
      </w:tr>
      <w:tr w14:paraId="748EB8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79DE82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北太平庄街道</w:t>
            </w:r>
          </w:p>
        </w:tc>
        <w:tc>
          <w:tcPr>
            <w:tcW w:w="3140" w:type="dxa"/>
            <w:tcBorders>
              <w:tl2br w:val="nil"/>
              <w:tr2bl w:val="nil"/>
            </w:tcBorders>
            <w:noWrap w:val="0"/>
            <w:vAlign w:val="center"/>
          </w:tcPr>
          <w:p w14:paraId="3BC833A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清心居养老院</w:t>
            </w:r>
          </w:p>
        </w:tc>
        <w:tc>
          <w:tcPr>
            <w:tcW w:w="4914" w:type="dxa"/>
            <w:tcBorders>
              <w:tl2br w:val="nil"/>
              <w:tr2bl w:val="nil"/>
            </w:tcBorders>
            <w:noWrap w:val="0"/>
            <w:vAlign w:val="center"/>
          </w:tcPr>
          <w:p w14:paraId="6EF72A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北京市海淀区蓟门里小区东八号</w:t>
            </w:r>
          </w:p>
        </w:tc>
      </w:tr>
      <w:tr w14:paraId="4934D4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7075E9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温泉镇</w:t>
            </w:r>
          </w:p>
        </w:tc>
        <w:tc>
          <w:tcPr>
            <w:tcW w:w="3140" w:type="dxa"/>
            <w:tcBorders>
              <w:tl2br w:val="nil"/>
              <w:tr2bl w:val="nil"/>
            </w:tcBorders>
            <w:noWrap w:val="0"/>
            <w:vAlign w:val="center"/>
          </w:tcPr>
          <w:p w14:paraId="7258A7A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喜饭餐厅</w:t>
            </w:r>
          </w:p>
        </w:tc>
        <w:tc>
          <w:tcPr>
            <w:tcW w:w="4914" w:type="dxa"/>
            <w:tcBorders>
              <w:tl2br w:val="nil"/>
              <w:tr2bl w:val="nil"/>
            </w:tcBorders>
            <w:noWrap w:val="0"/>
            <w:vAlign w:val="center"/>
          </w:tcPr>
          <w:p w14:paraId="4D2E096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北京市海淀区高里掌路1号院18号楼1层102</w:t>
            </w:r>
          </w:p>
        </w:tc>
      </w:tr>
      <w:tr w14:paraId="21D28D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7BC174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温泉镇</w:t>
            </w:r>
          </w:p>
        </w:tc>
        <w:tc>
          <w:tcPr>
            <w:tcW w:w="3140" w:type="dxa"/>
            <w:tcBorders>
              <w:tl2br w:val="nil"/>
              <w:tr2bl w:val="nil"/>
            </w:tcBorders>
            <w:noWrap w:val="0"/>
            <w:vAlign w:val="center"/>
          </w:tcPr>
          <w:p w14:paraId="79FBEEA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六十六号餐厅</w:t>
            </w:r>
          </w:p>
        </w:tc>
        <w:tc>
          <w:tcPr>
            <w:tcW w:w="4914" w:type="dxa"/>
            <w:tcBorders>
              <w:tl2br w:val="nil"/>
              <w:tr2bl w:val="nil"/>
            </w:tcBorders>
            <w:noWrap w:val="0"/>
            <w:vAlign w:val="center"/>
          </w:tcPr>
          <w:p w14:paraId="55B7FD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温泉镇古莲路66号院1号楼</w:t>
            </w:r>
          </w:p>
        </w:tc>
      </w:tr>
      <w:tr w14:paraId="527E8E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306F23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学院路</w:t>
            </w:r>
            <w:r>
              <w:rPr>
                <w:rFonts w:hint="eastAsia" w:ascii="宋体" w:hAnsi="宋体" w:eastAsia="宋体" w:cs="宋体"/>
                <w:color w:val="000000"/>
                <w:kern w:val="0"/>
                <w:sz w:val="24"/>
                <w:lang w:eastAsia="zh-CN" w:bidi="ar"/>
              </w:rPr>
              <w:t>街道</w:t>
            </w:r>
          </w:p>
        </w:tc>
        <w:tc>
          <w:tcPr>
            <w:tcW w:w="3140" w:type="dxa"/>
            <w:tcBorders>
              <w:tl2br w:val="nil"/>
              <w:tr2bl w:val="nil"/>
            </w:tcBorders>
            <w:noWrap w:val="0"/>
            <w:vAlign w:val="center"/>
          </w:tcPr>
          <w:p w14:paraId="3D98E9F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展春园社区助餐点</w:t>
            </w:r>
          </w:p>
        </w:tc>
        <w:tc>
          <w:tcPr>
            <w:tcW w:w="4914" w:type="dxa"/>
            <w:tcBorders>
              <w:tl2br w:val="nil"/>
              <w:tr2bl w:val="nil"/>
            </w:tcBorders>
            <w:noWrap w:val="0"/>
            <w:vAlign w:val="center"/>
          </w:tcPr>
          <w:p w14:paraId="31FE68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海淀区展春园小区19号</w:t>
            </w:r>
          </w:p>
        </w:tc>
      </w:tr>
      <w:tr w14:paraId="67180F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33550E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学院路</w:t>
            </w:r>
            <w:r>
              <w:rPr>
                <w:rFonts w:hint="eastAsia" w:ascii="宋体" w:hAnsi="宋体" w:eastAsia="宋体" w:cs="宋体"/>
                <w:color w:val="000000"/>
                <w:kern w:val="0"/>
                <w:sz w:val="24"/>
                <w:lang w:eastAsia="zh-CN" w:bidi="ar"/>
              </w:rPr>
              <w:t>街道</w:t>
            </w:r>
          </w:p>
        </w:tc>
        <w:tc>
          <w:tcPr>
            <w:tcW w:w="3140" w:type="dxa"/>
            <w:tcBorders>
              <w:tl2br w:val="nil"/>
              <w:tr2bl w:val="nil"/>
            </w:tcBorders>
            <w:noWrap w:val="0"/>
            <w:vAlign w:val="center"/>
          </w:tcPr>
          <w:p w14:paraId="106CEA0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幸福食堂</w:t>
            </w:r>
          </w:p>
        </w:tc>
        <w:tc>
          <w:tcPr>
            <w:tcW w:w="4914" w:type="dxa"/>
            <w:tcBorders>
              <w:tl2br w:val="nil"/>
              <w:tr2bl w:val="nil"/>
            </w:tcBorders>
            <w:noWrap w:val="0"/>
            <w:vAlign w:val="center"/>
          </w:tcPr>
          <w:p w14:paraId="3140E8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海淀区学院路20号</w:t>
            </w:r>
          </w:p>
        </w:tc>
      </w:tr>
      <w:tr w14:paraId="407D95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1716" w:type="dxa"/>
            <w:tcBorders>
              <w:tl2br w:val="nil"/>
              <w:tr2bl w:val="nil"/>
            </w:tcBorders>
            <w:noWrap w:val="0"/>
            <w:vAlign w:val="center"/>
          </w:tcPr>
          <w:p w14:paraId="3DBCDC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海淀街道</w:t>
            </w:r>
          </w:p>
        </w:tc>
        <w:tc>
          <w:tcPr>
            <w:tcW w:w="3140" w:type="dxa"/>
            <w:tcBorders>
              <w:tl2br w:val="nil"/>
              <w:tr2bl w:val="nil"/>
            </w:tcBorders>
            <w:noWrap w:val="0"/>
            <w:vAlign w:val="center"/>
          </w:tcPr>
          <w:p w14:paraId="6F7A34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熊猫范（互金中心店）</w:t>
            </w:r>
          </w:p>
        </w:tc>
        <w:tc>
          <w:tcPr>
            <w:tcW w:w="4914" w:type="dxa"/>
            <w:tcBorders>
              <w:tl2br w:val="nil"/>
              <w:tr2bl w:val="nil"/>
            </w:tcBorders>
            <w:noWrap w:val="0"/>
            <w:vAlign w:val="center"/>
          </w:tcPr>
          <w:p w14:paraId="0BF986A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海淀区丹棱街1号(海淀黄庄地铁站A2西北口步行360米)</w:t>
            </w:r>
          </w:p>
        </w:tc>
      </w:tr>
    </w:tbl>
    <w:p w14:paraId="393F8D4E">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Calibri" w:hAnsi="Calibri" w:eastAsia="仿宋_GB2312" w:cs="Times New Roman"/>
          <w:color w:val="000000" w:themeColor="text1"/>
          <w:spacing w:val="0"/>
          <w:sz w:val="32"/>
          <w:szCs w:val="32"/>
          <w:highlight w:val="green"/>
          <w:u w:val="none" w:color="auto"/>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医疗卫生服务能力持续提升。</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全面推动</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val="en-US" w:eastAsia="zh-CN"/>
          <w14:textFill>
            <w14:solidFill>
              <w14:schemeClr w14:val="tx1"/>
            </w14:solidFill>
          </w14:textFill>
        </w:rPr>
        <w:t>国家</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公立医院改革与高质量发展</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val="en-US" w:eastAsia="zh-CN"/>
          <w14:textFill>
            <w14:solidFill>
              <w14:schemeClr w14:val="tx1"/>
            </w14:solidFill>
          </w14:textFill>
        </w:rPr>
        <w:t>示范</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项目，统筹推进23个重点项目，全面促进医疗服务体系提质增效。家庭医生签约服务质量稳步提升，固化家庭医生与签约居民“1对1”服务模式。落实惠民便民政策，</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val="en-US" w:eastAsia="zh-CN"/>
          <w14:textFill>
            <w14:solidFill>
              <w14:schemeClr w14:val="tx1"/>
            </w14:solidFill>
          </w14:textFill>
        </w:rPr>
        <w:t>新增</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val="en-US" w:eastAsia="zh-CN"/>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家医药机构纳入医保定点</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val="en-US" w:eastAsia="zh-CN"/>
          <w14:textFill>
            <w14:solidFill>
              <w14:schemeClr w14:val="tx1"/>
            </w14:solidFill>
          </w14:textFill>
        </w:rPr>
        <w:t>含</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10家社区卫生服务机构</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u w:val="none" w:color="auto"/>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院前急救服务能力提升，全区院前急救工作站增至</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51</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个，呼叫满足率100%，平均反应时间缩短至9分钟左右。</w:t>
      </w:r>
      <w:r>
        <w:rPr>
          <w:rFonts w:hint="eastAsia" w:ascii="Calibri" w:hAnsi="Calibri" w:eastAsia="仿宋_GB2312" w:cs="Times New Roman"/>
          <w:color w:val="000000" w:themeColor="text1"/>
          <w:spacing w:val="0"/>
          <w:sz w:val="32"/>
          <w:szCs w:val="32"/>
          <w:highlight w:val="none"/>
          <w:u w:val="none" w:color="auto"/>
          <w14:textFill>
            <w14:solidFill>
              <w14:schemeClr w14:val="tx1"/>
            </w14:solidFill>
          </w14:textFill>
        </w:rPr>
        <w:t>智</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能化引领卫生健康事业，持续推动互联网医院建设，现有登记互联网医院12家，开展互联网诊疗的医疗机构10家</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共接诊20.02万人次；组成护理专家团队进行线上专业护理义诊，至今共提供上门服务3096人次。探索为“老老人”及失能等特需人群提供居家医疗服务，全年提供上门服务约7万人次。</w:t>
      </w:r>
    </w:p>
    <w:p w14:paraId="306E60A8">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文化底蕴挖掘与赋能提质工作有序开展。</w:t>
      </w:r>
      <w:r>
        <w:rPr>
          <w:rFonts w:hint="eastAsia" w:ascii="仿宋_GB2312" w:hAnsi="仿宋_GB2312" w:eastAsia="仿宋_GB2312" w:cs="仿宋_GB2312"/>
          <w:b w:val="0"/>
          <w:bCs w:val="0"/>
          <w:color w:val="000000" w:themeColor="text1"/>
          <w:spacing w:val="0"/>
          <w:w w:val="100"/>
          <w:kern w:val="2"/>
          <w:sz w:val="32"/>
          <w:szCs w:val="32"/>
          <w:highlight w:val="none"/>
          <w:u w:val="none" w:color="auto"/>
          <w:lang w:val="en-US" w:eastAsia="zh-CN" w:bidi="ar-SA"/>
          <w14:textFill>
            <w14:solidFill>
              <w14:schemeClr w14:val="tx1"/>
            </w14:solidFill>
          </w14:textFill>
        </w:rPr>
        <w:t>加强文化顶层设计，</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印发推进文化赋能科技创新若干措施，明确弘扬新时代中关村精神加快建设文化强区的总体要求。全力推进文化场地建设，第三图书馆完成装修，北部文化中心图书馆启动提升改造工程。依托海淀文化资源加强文化宣传，在“东方红一号”诞生地——北京卫星制造厂科技园5号厂房建设“两弹一星”在海淀主题展，建设中关村“两弹一星”精神研学基地。充分利用颐和园、圆明园等传统景区，以及“清河之洲”、海淀公园、京张铁路遗址公园等新晋“网红打卡地”，</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举办“海之春”新春文化季、中关村舞剧节、中关村音乐季等各类公共文化活动12737场次，惠及群众2544.5万人次。</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做好文化资源保护工作，三山五园成功获评全国首批文物保护利用示范区，实施圆明园文渊阁考古发掘等20项文物保护项目。探索文物活化利用新渠道，清华园火车站面向社会开放，累计吸引参观打卡10万人次。</w:t>
      </w:r>
    </w:p>
    <w:p w14:paraId="2BB0935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w w:val="100"/>
          <w:kern w:val="2"/>
          <w:sz w:val="32"/>
          <w:szCs w:val="32"/>
          <w:highlight w:val="none"/>
          <w:u w:val="none" w:color="auto"/>
          <w:lang w:val="en-US" w:eastAsia="zh-CN" w:bidi="ar-SA"/>
          <w14:textFill>
            <w14:solidFill>
              <w14:schemeClr w14:val="tx1"/>
            </w14:solidFill>
          </w14:textFill>
        </w:rPr>
        <w:t>社会治理体系不断优化。</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进一步完善接诉即办机制，切实通过“小切口”改革举措办好民生实</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事，接诉即办响应率100%、解决率97.81%、满意率98.08%。</w:t>
      </w:r>
      <w:r>
        <w:rPr>
          <w:rFonts w:hint="eastAsia" w:ascii="仿宋_GB2312" w:hAnsi="宋体" w:eastAsia="仿宋_GB2312" w:cs="宋体"/>
          <w:color w:val="000000" w:themeColor="text1"/>
          <w:spacing w:val="0"/>
          <w:kern w:val="0"/>
          <w:sz w:val="32"/>
          <w:szCs w:val="32"/>
          <w:highlight w:val="none"/>
          <w:u w:val="none" w:color="auto"/>
          <w:lang w:val="en-US" w:eastAsia="zh-CN" w:bidi="ar-SA"/>
          <w14:textFill>
            <w14:solidFill>
              <w14:schemeClr w14:val="tx1"/>
            </w14:solidFill>
          </w14:textFill>
        </w:rPr>
        <w:t>“</w:t>
      </w:r>
      <w:r>
        <w:rPr>
          <w:rFonts w:ascii="仿宋_GB2312" w:hAnsi="宋体" w:eastAsia="仿宋_GB2312" w:cs="宋体"/>
          <w:color w:val="000000" w:themeColor="text1"/>
          <w:spacing w:val="0"/>
          <w:kern w:val="0"/>
          <w:sz w:val="32"/>
          <w:szCs w:val="32"/>
          <w:highlight w:val="none"/>
          <w:u w:val="none" w:color="auto"/>
          <w:lang w:val="en-US" w:eastAsia="zh-CN" w:bidi="ar-SA"/>
          <w14:textFill>
            <w14:solidFill>
              <w14:schemeClr w14:val="tx1"/>
            </w14:solidFill>
          </w14:textFill>
        </w:rPr>
        <w:t>每月一题</w:t>
      </w:r>
      <w:r>
        <w:rPr>
          <w:rFonts w:hint="eastAsia" w:ascii="仿宋_GB2312" w:hAnsi="宋体" w:eastAsia="仿宋_GB2312" w:cs="宋体"/>
          <w:color w:val="000000" w:themeColor="text1"/>
          <w:spacing w:val="0"/>
          <w:kern w:val="0"/>
          <w:sz w:val="32"/>
          <w:szCs w:val="32"/>
          <w:highlight w:val="none"/>
          <w:u w:val="none" w:color="auto"/>
          <w:lang w:val="en-US" w:eastAsia="zh-CN" w:bidi="ar-SA"/>
          <w14:textFill>
            <w14:solidFill>
              <w14:schemeClr w14:val="tx1"/>
            </w14:solidFill>
          </w14:textFill>
        </w:rPr>
        <w:t>”统筹推进，行业部门建立长效机制，开展源头治理、综合治理，旅行社管理等多个“一题”诉求解决率100%。</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坚持和发展新时代“枫桥经验”，</w:t>
      </w:r>
      <w:r>
        <w:rPr>
          <w:rFonts w:hint="eastAsia" w:ascii="仿宋_GB2312" w:hAnsi="仿宋_GB2312" w:eastAsia="仿宋_GB2312" w:cs="仿宋_GB2312"/>
          <w:color w:val="000000" w:themeColor="text1"/>
          <w:spacing w:val="0"/>
          <w:kern w:val="2"/>
          <w:sz w:val="32"/>
          <w:szCs w:val="32"/>
          <w:lang w:val="en" w:eastAsia="zh-CN" w:bidi="ar-SA"/>
          <w14:textFill>
            <w14:solidFill>
              <w14:schemeClr w14:val="tx1"/>
            </w14:solidFill>
          </w14:textFill>
        </w:rPr>
        <w:t>推进信访工作法治化，</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落实“大家商量着办”工作机制，</w:t>
      </w:r>
      <w:r>
        <w:rPr>
          <w:rFonts w:hint="eastAsia" w:ascii="仿宋_GB2312" w:hAnsi="宋体" w:eastAsia="仿宋_GB2312" w:cs="宋体"/>
          <w:color w:val="000000" w:themeColor="text1"/>
          <w:spacing w:val="0"/>
          <w:kern w:val="0"/>
          <w:sz w:val="32"/>
          <w:szCs w:val="32"/>
          <w:highlight w:val="none"/>
          <w:u w:val="none" w:color="auto"/>
          <w:lang w:val="en-US" w:eastAsia="zh-CN" w:bidi="ar-SA"/>
          <w14:textFill>
            <w14:solidFill>
              <w14:schemeClr w14:val="tx1"/>
            </w14:solidFill>
          </w14:textFill>
        </w:rPr>
        <w:t>推动完成58个民生主动治理项目，</w:t>
      </w:r>
      <w:r>
        <w:rPr>
          <w:rFonts w:hint="eastAsia" w:ascii="仿宋_GB2312" w:hAnsi="仿宋_GB2312" w:eastAsia="仿宋_GB2312" w:cs="仿宋_GB2312"/>
          <w:color w:val="000000" w:themeColor="text1"/>
          <w:spacing w:val="0"/>
          <w:kern w:val="2"/>
          <w:sz w:val="32"/>
          <w:szCs w:val="32"/>
          <w:lang w:val="en" w:eastAsia="zh-CN" w:bidi="ar-SA"/>
          <w14:textFill>
            <w14:solidFill>
              <w14:schemeClr w14:val="tx1"/>
            </w14:solidFill>
          </w14:textFill>
        </w:rPr>
        <w:t>区级领导共接访下访</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89次，</w:t>
      </w:r>
      <w:r>
        <w:rPr>
          <w:rFonts w:hint="eastAsia" w:ascii="仿宋_GB2312" w:hAnsi="仿宋_GB2312" w:eastAsia="仿宋_GB2312" w:cs="仿宋_GB2312"/>
          <w:color w:val="000000" w:themeColor="text1"/>
          <w:spacing w:val="0"/>
          <w:kern w:val="2"/>
          <w:sz w:val="32"/>
          <w:szCs w:val="32"/>
          <w:lang w:val="en" w:eastAsia="zh-CN" w:bidi="ar-SA"/>
          <w14:textFill>
            <w14:solidFill>
              <w14:schemeClr w14:val="tx1"/>
            </w14:solidFill>
          </w14:textFill>
        </w:rPr>
        <w:t>接待信访群众</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170</w:t>
      </w:r>
      <w:r>
        <w:rPr>
          <w:rFonts w:hint="eastAsia" w:ascii="仿宋_GB2312" w:hAnsi="仿宋_GB2312" w:eastAsia="仿宋_GB2312" w:cs="仿宋_GB2312"/>
          <w:color w:val="000000" w:themeColor="text1"/>
          <w:spacing w:val="0"/>
          <w:kern w:val="2"/>
          <w:sz w:val="32"/>
          <w:szCs w:val="32"/>
          <w:lang w:val="en" w:eastAsia="zh-CN" w:bidi="ar-SA"/>
          <w14:textFill>
            <w14:solidFill>
              <w14:schemeClr w14:val="tx1"/>
            </w14:solidFill>
          </w14:textFill>
        </w:rPr>
        <w:t>批，推动矛盾就地化解，</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推</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动解决政策性转居人员补助金12年未增加等疑难复杂信访问题</w:t>
      </w:r>
      <w:r>
        <w:rPr>
          <w:rFonts w:hint="eastAsia" w:ascii="仿宋_GB2312" w:hAnsi="仿宋_GB2312" w:eastAsia="仿宋_GB2312" w:cs="仿宋_GB2312"/>
          <w:color w:val="000000" w:themeColor="text1"/>
          <w:spacing w:val="0"/>
          <w:kern w:val="2"/>
          <w:sz w:val="32"/>
          <w:szCs w:val="32"/>
          <w:highlight w:val="none"/>
          <w:lang w:val="en" w:eastAsia="zh-CN" w:bidi="ar-SA"/>
          <w14:textFill>
            <w14:solidFill>
              <w14:schemeClr w14:val="tx1"/>
            </w14:solidFill>
          </w14:textFill>
        </w:rPr>
        <w:t>。</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开展两次信访矛盾纠纷大排查，围绕民生问题开展13次专项排查，及时解决民生诉求，消除风险隐患，有效提升居民生活品质。</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深化拓展“海·青”社区服务行动，全区范围推广试点经验成果，健全完善大学和社区新型伙伴关系。</w:t>
      </w:r>
    </w:p>
    <w:p w14:paraId="03AAC3AA">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b/>
          <w:bCs/>
          <w:color w:val="000000" w:themeColor="text1"/>
          <w:spacing w:val="0"/>
          <w:kern w:val="0"/>
          <w:sz w:val="32"/>
          <w:szCs w:val="32"/>
          <w:u w:val="none" w:color="auto"/>
          <w:lang w:val="en-US" w:eastAsia="zh-CN" w:bidi="ar-SA"/>
          <w14:textFill>
            <w14:solidFill>
              <w14:schemeClr w14:val="tx1"/>
            </w14:solidFill>
          </w14:textFill>
        </w:rPr>
        <w:t>城市运行安全有序。</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提升防洪防涝能力，加快“23·7”水毁</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工程修复，统筹推进全区防汛“一张图”的平台建设。调整完善“1+10+63”的防汛指挥体系。完成9处积水点治理工作，西玉河蓄滞洪区项目正在进行主体建设。完成10处地震应急避难场所的建设和认定，增加避难场所面积160余万平方米。强化森林火灾风险防控，深入重点林区</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检查督导15次，</w:t>
      </w:r>
      <w:r>
        <w:rPr>
          <w:rFonts w:hint="eastAsia" w:ascii="仿宋_GB2312" w:hAnsi="Calibri" w:eastAsia="仿宋_GB2312" w:cs="Times New Roman"/>
          <w:b w:val="0"/>
          <w:bCs w:val="0"/>
          <w:color w:val="000000" w:themeColor="text1"/>
          <w:spacing w:val="0"/>
          <w:kern w:val="2"/>
          <w:sz w:val="32"/>
          <w:szCs w:val="32"/>
          <w:lang w:val="en-US" w:eastAsia="zh-CN" w:bidi="ar-SA"/>
          <w14:textFill>
            <w14:solidFill>
              <w14:schemeClr w14:val="tx1"/>
            </w14:solidFill>
          </w14:textFill>
        </w:rPr>
        <w:t>进行森林防灭火多形式多样式演训30余次。完善应急管理体制机制，印发北京市海淀区灾害事故应急指挥调度与处置总体方案，明确分级响应的指挥权限，规范现场指挥程序与处置流程，开展重点突发事件应急演练400余次。</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完成全年9840批次食品安全抽样检验工作，实现对33大类食品的抽检监测全覆盖。压紧压实安全生产责任，依托“企安安”开展检查</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17万家</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，整改隐患19.7万项。推进城市安全风险评估及管控共计1.8万家，动态更新风险源数量总计5.8万条。</w:t>
      </w:r>
    </w:p>
    <w:p w14:paraId="74878352">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2024年31项计划指标中，常住人口规模、地区生产总值等</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pacing w:val="0"/>
          <w:sz w:val="32"/>
          <w:szCs w:val="32"/>
          <w14:textFill>
            <w14:solidFill>
              <w14:schemeClr w14:val="tx1"/>
            </w14:solidFill>
          </w14:textFill>
        </w:rPr>
        <w:t>项指标预计可以</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达到或超额</w:t>
      </w:r>
      <w:r>
        <w:rPr>
          <w:rFonts w:hint="eastAsia" w:ascii="仿宋_GB2312" w:hAnsi="仿宋_GB2312" w:eastAsia="仿宋_GB2312" w:cs="仿宋_GB2312"/>
          <w:color w:val="000000" w:themeColor="text1"/>
          <w:spacing w:val="0"/>
          <w:sz w:val="32"/>
          <w:szCs w:val="32"/>
          <w14:textFill>
            <w14:solidFill>
              <w14:schemeClr w14:val="tx1"/>
            </w14:solidFill>
          </w14:textFill>
        </w:rPr>
        <w:t>完成年初计划目标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。预期性指标</w:t>
      </w:r>
      <w:r>
        <w:rPr>
          <w:rFonts w:hint="eastAsia" w:ascii="仿宋_GB2312" w:hAnsi="仿宋_GB2312" w:eastAsia="仿宋_GB2312" w:cs="仿宋_GB2312"/>
          <w:color w:val="000000" w:themeColor="text1"/>
          <w:spacing w:val="0"/>
          <w:sz w:val="32"/>
          <w:szCs w:val="32"/>
          <w14:textFill>
            <w14:solidFill>
              <w14:schemeClr w14:val="tx1"/>
            </w14:solidFill>
          </w14:textFill>
        </w:rPr>
        <w:t>实际利用外资</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规模受全球跨国直接投资持续低迷，美欧等发达经济体对华贸易限制措施增多</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影响</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，预计全年完成</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17.6亿美元左右，低于年初目标约31.4亿美元。总体来看，经济发展、社会民生等预期目标完成情况较好；创新驱动发展成效明显，企业研发投入、PCT专利申请量等指标保持全国、全市领先水平；生产生活生态环境持续向好，细颗粒物浓度稳步降低、地表水优良水体比例达到100%、单位地区生产总值能耗不断下降；民生福祉持续增进，城镇登记失业率低位运行，普惠性学前学位、中小学学位、养老床位、停车位不断增加</w:t>
      </w:r>
      <w:r>
        <w:rPr>
          <w:rFonts w:ascii="仿宋_GB2312" w:hAnsi="仿宋_GB2312" w:eastAsia="仿宋_GB2312" w:cs="仿宋_GB2312"/>
          <w:color w:val="000000" w:themeColor="text1"/>
          <w:spacing w:val="0"/>
          <w:sz w:val="32"/>
          <w:szCs w:val="32"/>
          <w14:textFill>
            <w14:solidFill>
              <w14:schemeClr w14:val="tx1"/>
            </w14:solidFill>
          </w14:textFill>
        </w:rPr>
        <w:t>。</w:t>
      </w:r>
    </w:p>
    <w:p w14:paraId="316214E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今年海淀区严格落实中央和市委、市政府决策部署，各项政策执行有力有效，经济社会大局总体平稳。同时，也要增强忧患意识，保持清醒头脑，深刻认识我区经济社会发展中存在的困难，重点关注以下问题：</w:t>
      </w:r>
    </w:p>
    <w:p w14:paraId="0C37E920">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一是全球经济复苏乏力，增长动能匮乏，经济全球化遇阻。美国对AI管制升级、芯片及数据流通限制，冲击了区内人工智能、生物医药等产业，国际经贸合作空间受挤压。</w:t>
      </w:r>
    </w:p>
    <w:p w14:paraId="33090B0D">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二是需求动力不足。消费市场动力疲弱，消费供给品质仍待提升，居民消费受房地产、就业与经济预期等因素制约，消费信心不足，社会消费品零售总额持续负增长。我区传统基建类项目占比低于全市、轨道在施线路减少，芯片禁运及互联网企业战略调整导致设备购置投资不确定性仍然存在，固定资产投资增长压力大。企业投资热情低落，市场主体内生增长动力匮乏，对经济的拉动作用持续减弱，经济增长后劲乏力。</w:t>
      </w:r>
    </w:p>
    <w:p w14:paraId="1DDA9DE0">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三是产业结构仍待优化，新兴产业动能仍需加速培育。</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占地区生产总值近一半的信息业增速高位回落</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科研业工程设计类项目萎缩，金融业受利率下调、减费让利及社融需求减弱影响盈利能力下降，房地产业与建筑业处于下行区间。行业对个别龙头企业依赖性较大，经济稳定性面临挑战，抗风险能力亟待增强。以人工智能为代表的战略性新兴产业虽初具成效，人工智能（核心产业2600亿元左右）、集成电路产业（产业规模400亿元左右）、智能网联汽车、商业航天等产业已经形成一定规模，但规模还较小，新兴动能拉动有限。</w:t>
      </w:r>
    </w:p>
    <w:p w14:paraId="4DD2C5DE">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pP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四是就业形势面临压力。城镇登记失业率高于2023年全年（2.5%）水平，呈逐年上升趋势。</w:t>
      </w:r>
      <w:r>
        <w:rPr>
          <w:rFonts w:hint="eastAsia"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t>1—11月海淀园规模以上重点企业从业人员与研发人员数量同比分别下降3.7%、6.6%。</w:t>
      </w:r>
      <w:r>
        <w:rPr>
          <w:rFonts w:hint="eastAsia" w:ascii="仿宋_GB2312" w:hAnsi="Arial" w:eastAsia="仿宋_GB2312" w:cs="Arial"/>
          <w:color w:val="000000" w:themeColor="text1"/>
          <w:spacing w:val="0"/>
          <w:kern w:val="0"/>
          <w:sz w:val="32"/>
          <w:szCs w:val="32"/>
          <w:u w:val="none" w:color="auto"/>
          <w:lang w:val="en-US" w:eastAsia="zh-CN" w:bidi="ar-SA"/>
          <w14:textFill>
            <w14:solidFill>
              <w14:schemeClr w14:val="tx1"/>
            </w14:solidFill>
          </w14:textFill>
        </w:rPr>
        <w:t>就业吸纳能力降低，欠薪、裁员等劳动用工风险加剧并向上下游扩散，就业质量与数量均面临双重压力，社会稳定面临考验。</w:t>
      </w:r>
    </w:p>
    <w:p w14:paraId="1499111E">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二、2025年</w:t>
      </w:r>
      <w:r>
        <w:rPr>
          <w:rFonts w:hint="eastAsia" w:ascii="黑体" w:hAnsi="黑体" w:eastAsia="黑体" w:cs="黑体"/>
          <w:color w:val="000000" w:themeColor="text1"/>
          <w:spacing w:val="0"/>
          <w:sz w:val="32"/>
          <w:szCs w:val="32"/>
          <w:lang w:val="en-US" w:eastAsia="zh-CN"/>
          <w14:textFill>
            <w14:solidFill>
              <w14:schemeClr w14:val="tx1"/>
            </w14:solidFill>
          </w14:textFill>
        </w:rPr>
        <w:t>经济社会发展计划安排</w:t>
      </w:r>
    </w:p>
    <w:p w14:paraId="2A608125">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总体要求</w:t>
      </w:r>
    </w:p>
    <w:p w14:paraId="13526195">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pPr>
      <w:r>
        <w:rPr>
          <w:rFonts w:ascii="仿宋_GB2312" w:hAnsi="仿宋" w:eastAsia="仿宋_GB2312" w:cs="Times New Roman"/>
          <w:b w:val="0"/>
          <w:bCs w:val="0"/>
          <w:color w:val="000000" w:themeColor="text1"/>
          <w:spacing w:val="0"/>
          <w:sz w:val="32"/>
          <w:szCs w:val="32"/>
          <w:u w:val="none" w:color="auto"/>
          <w14:textFill>
            <w14:solidFill>
              <w14:schemeClr w14:val="tx1"/>
            </w14:solidFill>
          </w14:textFill>
        </w:rPr>
        <w:t>202</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5</w:t>
      </w:r>
      <w:r>
        <w:rPr>
          <w:rFonts w:ascii="仿宋_GB2312" w:hAnsi="仿宋" w:eastAsia="仿宋_GB2312" w:cs="Times New Roman"/>
          <w:b w:val="0"/>
          <w:bCs w:val="0"/>
          <w:color w:val="000000" w:themeColor="text1"/>
          <w:spacing w:val="0"/>
          <w:sz w:val="32"/>
          <w:szCs w:val="32"/>
          <w:u w:val="none" w:color="auto"/>
          <w14:textFill>
            <w14:solidFill>
              <w14:schemeClr w14:val="tx1"/>
            </w14:solidFill>
          </w14:textFill>
        </w:rPr>
        <w:t>年是</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十四五收官之年</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，做好全年经济社会发展各项工作，具有里程碑、标志性意义。</w:t>
      </w:r>
      <w:r>
        <w:rPr>
          <w:rFonts w:ascii="仿宋_GB2312" w:hAnsi="仿宋" w:eastAsia="仿宋_GB2312" w:cs="Times New Roman"/>
          <w:b w:val="0"/>
          <w:bCs w:val="0"/>
          <w:color w:val="000000" w:themeColor="text1"/>
          <w:spacing w:val="0"/>
          <w:sz w:val="32"/>
          <w:szCs w:val="32"/>
          <w:u w:val="none" w:color="auto"/>
          <w14:textFill>
            <w14:solidFill>
              <w14:schemeClr w14:val="tx1"/>
            </w14:solidFill>
          </w14:textFill>
        </w:rPr>
        <w:t>202</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5</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年</w:t>
      </w:r>
      <w:r>
        <w:rPr>
          <w:rFonts w:ascii="仿宋_GB2312" w:hAnsi="仿宋" w:eastAsia="仿宋_GB2312" w:cs="Times New Roman"/>
          <w:b w:val="0"/>
          <w:bCs w:val="0"/>
          <w:color w:val="000000" w:themeColor="text1"/>
          <w:spacing w:val="0"/>
          <w:sz w:val="32"/>
          <w:szCs w:val="32"/>
          <w:u w:val="none" w:color="auto"/>
          <w14:textFill>
            <w14:solidFill>
              <w14:schemeClr w14:val="tx1"/>
            </w14:solidFill>
          </w14:textFill>
        </w:rPr>
        <w:t>国民经济和社会发展计划安排的总体思路是：</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坚持以习近平新时代中国特色社会主义思想为指导，</w:t>
      </w:r>
      <w:r>
        <w:rPr>
          <w:rFonts w:hint="eastAsia" w:ascii="仿宋_GB2312" w:hAnsi="仿宋" w:eastAsia="仿宋_GB2312"/>
          <w:color w:val="000000" w:themeColor="text1"/>
          <w:sz w:val="32"/>
          <w:szCs w:val="32"/>
          <w14:textFill>
            <w14:solidFill>
              <w14:schemeClr w14:val="tx1"/>
            </w14:solidFill>
          </w14:textFill>
        </w:rPr>
        <w:t>全面贯彻落实党的二十大、二十届二中、三中全会、中共中央政治局会议和中央经济工作会会议精神</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，深入贯彻习近平总书记对北京重要讲话精神，</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落实</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市委十三届</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六</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次全会和区委十三届</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八</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次全会部署，聚焦市委对海淀“一个目标”和“五个作示范、五个当先锋作表率”的新期待和高要求</w:t>
      </w:r>
      <w:r>
        <w:rPr>
          <w:rFonts w:hint="eastAsia" w:ascii="仿宋_GB2312" w:hAnsi="仿宋" w:eastAsia="仿宋_GB2312" w:cs="Times New Roman"/>
          <w:b w:val="0"/>
          <w:bCs w:val="0"/>
          <w:color w:val="000000" w:themeColor="text1"/>
          <w:spacing w:val="0"/>
          <w:sz w:val="32"/>
          <w:szCs w:val="32"/>
          <w:u w:val="none" w:color="auto"/>
          <w:lang w:eastAsia="zh-CN"/>
          <w14:textFill>
            <w14:solidFill>
              <w14:schemeClr w14:val="tx1"/>
            </w14:solidFill>
          </w14:textFill>
        </w:rPr>
        <w:t>，</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秉持稳中求进工作总基调，全面贯彻新发展理念，加速构建新发展格局，以发展新质生产力、建设世界领先科技园区为主线，以进一步全面深化改革、扩大高水平对外开放为抓手，持续攻坚“四块硬骨头”，统筹做好稳增长、强创新、抓治理、惠民生、防风险、保稳定</w:t>
      </w:r>
      <w:r>
        <w:rPr>
          <w:rFonts w:hint="eastAsia" w:ascii="仿宋_GB2312" w:hAnsi="仿宋" w:eastAsia="仿宋_GB2312" w:cs="Times New Roman"/>
          <w:b w:val="0"/>
          <w:bCs w:val="0"/>
          <w:color w:val="000000" w:themeColor="text1"/>
          <w:spacing w:val="0"/>
          <w:sz w:val="32"/>
          <w:szCs w:val="32"/>
          <w:u w:val="none" w:color="auto"/>
          <w:lang w:val="en-US" w:eastAsia="zh-CN"/>
          <w14:textFill>
            <w14:solidFill>
              <w14:schemeClr w14:val="tx1"/>
            </w14:solidFill>
          </w14:textFill>
        </w:rPr>
        <w:t>各项</w:t>
      </w:r>
      <w:r>
        <w:rPr>
          <w:rFonts w:hint="eastAsia" w:ascii="仿宋_GB2312" w:hAnsi="仿宋" w:eastAsia="仿宋_GB2312" w:cs="Times New Roman"/>
          <w:b w:val="0"/>
          <w:bCs w:val="0"/>
          <w:color w:val="000000" w:themeColor="text1"/>
          <w:spacing w:val="0"/>
          <w:sz w:val="32"/>
          <w:szCs w:val="32"/>
          <w:u w:val="none" w:color="auto"/>
          <w14:textFill>
            <w14:solidFill>
              <w14:schemeClr w14:val="tx1"/>
            </w14:solidFill>
          </w14:textFill>
        </w:rPr>
        <w:t>工作，为推动新时代首都发展贡献更大力量。</w:t>
      </w:r>
    </w:p>
    <w:p w14:paraId="1E48AD91">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outlineLvl w:val="1"/>
        <w:rPr>
          <w:rFonts w:hint="default" w:ascii="楷体_GB2312" w:hAnsi="楷体_GB2312" w:eastAsia="楷体_GB2312" w:cs="楷体_GB2312"/>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w:t>
      </w:r>
      <w:r>
        <w:rPr>
          <w:rFonts w:hint="eastAsia" w:ascii="楷体_GB2312" w:hAnsi="楷体_GB2312" w:eastAsia="楷体_GB2312" w:cs="楷体_GB2312"/>
          <w:color w:val="000000" w:themeColor="text1"/>
          <w:spacing w:val="0"/>
          <w:sz w:val="32"/>
          <w:szCs w:val="32"/>
          <w:lang w:val="en-US" w:eastAsia="zh-CN"/>
          <w14:textFill>
            <w14:solidFill>
              <w14:schemeClr w14:val="tx1"/>
            </w14:solidFill>
          </w14:textFill>
        </w:rPr>
        <w:t>主要指标</w:t>
      </w:r>
    </w:p>
    <w:p w14:paraId="73A3D786">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snapToGrid w:val="0"/>
          <w:color w:val="000000" w:themeColor="text1"/>
          <w:spacing w:val="0"/>
          <w:kern w:val="0"/>
          <w:sz w:val="32"/>
          <w:szCs w:val="32"/>
          <w14:textFill>
            <w14:solidFill>
              <w14:schemeClr w14:val="tx1"/>
            </w14:solidFill>
          </w14:textFill>
        </w:rPr>
      </w:pPr>
      <w:r>
        <w:rPr>
          <w:rFonts w:hint="eastAsia" w:ascii="仿宋_GB2312" w:hAnsi="仿宋_GB2312" w:eastAsia="仿宋_GB2312" w:cs="仿宋_GB2312"/>
          <w:bCs/>
          <w:snapToGrid w:val="0"/>
          <w:color w:val="000000" w:themeColor="text1"/>
          <w:spacing w:val="0"/>
          <w:kern w:val="0"/>
          <w:sz w:val="32"/>
          <w:szCs w:val="32"/>
          <w14:textFill>
            <w14:solidFill>
              <w14:schemeClr w14:val="tx1"/>
            </w14:solidFill>
          </w14:textFill>
        </w:rPr>
        <w:t>为深入贯彻党的二十大精神和习近平总书记对北京重要讲话精神，深刻把握首都中心城区功能定位、科学城新型城市形态建设规律、建设世界领先科技园区等新任务新要求，推动区域高质量发展取得良好成效，结合“十四五”规划目标及指标进展情况，2025年计划安排31项指标。</w:t>
      </w:r>
    </w:p>
    <w:p w14:paraId="78FBF4DE">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经济发展方面：地区生产总值增长5.5%；区级一般公共预算收入增长4%；劳动生产率达到45万元/人。</w:t>
      </w:r>
    </w:p>
    <w:p w14:paraId="111D0FDA">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科技创新方面：全社会研究与实验发展经费支出占地区生产总值比重11%；园区企业研发投入强度达6.2%；PCT专利申请量达5100件。</w:t>
      </w:r>
    </w:p>
    <w:p w14:paraId="25DFD1BF">
      <w:pPr>
        <w:keepNext w:val="0"/>
        <w:keepLines w:val="0"/>
        <w:pageBreakBefore w:val="0"/>
        <w:widowControl w:val="0"/>
        <w:tabs>
          <w:tab w:val="left" w:pos="4620"/>
        </w:tabs>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pacing w:val="0"/>
          <w:sz w:val="32"/>
          <w:szCs w:val="32"/>
          <w14:textFill>
            <w14:solidFill>
              <w14:schemeClr w14:val="tx1"/>
            </w14:solidFill>
          </w14:textFill>
        </w:rPr>
        <w:t>民生保障方面：居民人均可支配收入稳步增长；城镇登记失业率控制在不高于全市水平；每千人常住人口执业（助理）医师数达5.3人以上；食品</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抽检</w:t>
      </w:r>
      <w:r>
        <w:rPr>
          <w:rFonts w:hint="eastAsia" w:ascii="仿宋_GB2312" w:hAnsi="仿宋_GB2312" w:eastAsia="仿宋_GB2312" w:cs="仿宋_GB2312"/>
          <w:color w:val="000000" w:themeColor="text1"/>
          <w:spacing w:val="0"/>
          <w:sz w:val="32"/>
          <w:szCs w:val="32"/>
          <w14:textFill>
            <w14:solidFill>
              <w14:schemeClr w14:val="tx1"/>
            </w14:solidFill>
          </w14:textFill>
        </w:rPr>
        <w:t>、药品安全</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监督</w:t>
      </w:r>
      <w:r>
        <w:rPr>
          <w:rFonts w:hint="eastAsia" w:ascii="仿宋_GB2312" w:hAnsi="仿宋_GB2312" w:eastAsia="仿宋_GB2312" w:cs="仿宋_GB2312"/>
          <w:color w:val="000000" w:themeColor="text1"/>
          <w:spacing w:val="0"/>
          <w:sz w:val="32"/>
          <w:szCs w:val="32"/>
          <w14:textFill>
            <w14:solidFill>
              <w14:schemeClr w14:val="tx1"/>
            </w14:solidFill>
          </w14:textFill>
        </w:rPr>
        <w:t>抽检合格率分别达到98.5%和99%以上。</w:t>
      </w:r>
    </w:p>
    <w:p w14:paraId="44699C73">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黑体" w:hAnsi="黑体" w:eastAsia="黑体" w:cs="黑体"/>
          <w:color w:val="000000" w:themeColor="text1"/>
          <w:spacing w:val="0"/>
          <w:sz w:val="32"/>
          <w:szCs w:val="32"/>
          <w:u w:val="none" w:color="auto"/>
          <w:lang w:val="en-US" w:eastAsia="zh-CN"/>
          <w14:textFill>
            <w14:solidFill>
              <w14:schemeClr w14:val="tx1"/>
            </w14:solidFill>
          </w14:textFill>
        </w:rPr>
      </w:pPr>
      <w:r>
        <w:rPr>
          <w:rFonts w:hint="eastAsia" w:ascii="黑体" w:hAnsi="黑体" w:eastAsia="黑体" w:cs="黑体"/>
          <w:color w:val="000000" w:themeColor="text1"/>
          <w:spacing w:val="0"/>
          <w:sz w:val="32"/>
          <w:szCs w:val="32"/>
          <w:u w:val="none" w:color="auto"/>
          <w:lang w:val="en-US" w:eastAsia="zh-CN"/>
          <w14:textFill>
            <w14:solidFill>
              <w14:schemeClr w14:val="tx1"/>
            </w14:solidFill>
          </w14:textFill>
        </w:rPr>
        <w:t>三、2025年工作措施</w:t>
      </w:r>
    </w:p>
    <w:p w14:paraId="52280543">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（一）稳固经济发展基础，引领高质量发展</w:t>
      </w:r>
    </w:p>
    <w:p w14:paraId="3333A77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优化经济运行调度。</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pacing w:val="0"/>
          <w:kern w:val="2"/>
          <w:sz w:val="32"/>
          <w:szCs w:val="32"/>
          <w:shd w:val="clear" w:color="auto" w:fill="FFFFFF"/>
          <w:lang w:val="en-US" w:eastAsia="zh-CN" w:bidi="ar-SA"/>
          <w14:textFill>
            <w14:solidFill>
              <w14:schemeClr w14:val="tx1"/>
            </w14:solidFill>
          </w14:textFill>
        </w:rPr>
        <w:t>完善海淀经济运行预测监测体系，加强对重点行业规律和重点企业发展态势分析。（2）统筹财源专班、经济专班和“服务包”机制，动态优化调整重点企业库，做好2万余家重点企业的走访服务工作，用心有情解决企业诉求，稳存量，挖潜量、拓增量，进一步增强财源发展韧性活力。（3）</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编制公共数据资源目录，开展数据分类分级管理，统筹推进政务数据共享，有序推动公共数据开放，探索公共数据授权运营，推动数据资源标准化、规范化建设。</w:t>
      </w:r>
      <w:r>
        <w:rPr>
          <w:rFonts w:hint="eastAsia" w:ascii="仿宋_GB2312" w:hAnsi="仿宋_GB2312" w:eastAsia="仿宋_GB2312" w:cs="仿宋_GB2312"/>
          <w:b w:val="0"/>
          <w:bCs w:val="0"/>
          <w:color w:val="000000" w:themeColor="text1"/>
          <w:spacing w:val="0"/>
          <w:kern w:val="2"/>
          <w:sz w:val="32"/>
          <w:szCs w:val="32"/>
          <w:shd w:val="clear" w:color="auto" w:fill="FFFFFF"/>
          <w:lang w:val="en-US" w:eastAsia="zh-CN" w:bidi="ar-SA"/>
          <w14:textFill>
            <w14:solidFill>
              <w14:schemeClr w14:val="tx1"/>
            </w14:solidFill>
          </w14:textFill>
        </w:rPr>
        <w:t>加快开发海淀经济大脑，提高经济运行调度实效。</w:t>
      </w:r>
    </w:p>
    <w:p w14:paraId="435978C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创新多元化消费场景。</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紧盯中关村广场城市更新及招商进度，推动山姆会员店加快建设，谋划当代、金源等传统商圈改造升级，促进消费市场繁荣。</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（2）研究制定提振消费专项行动具体措施，提升消费能力、意愿和层级；落实“两新”政策，</w:t>
      </w:r>
      <w:r>
        <w:rPr>
          <w:rFonts w:hint="eastAsia" w:ascii="仿宋_GB2312" w:hAnsi="仿宋_GB2312" w:eastAsia="仿宋_GB2312" w:cs="仿宋_GB2312"/>
          <w:bCs/>
          <w:color w:val="000000" w:themeColor="text1"/>
          <w:spacing w:val="0"/>
          <w:kern w:val="1"/>
          <w:sz w:val="32"/>
          <w:szCs w:val="32"/>
          <w:highlight w:val="none"/>
          <w:u w:val="none" w:color="auto"/>
          <w:lang w:val="en-US" w:eastAsia="zh-CN" w:bidi="ar-SA"/>
          <w14:textFill>
            <w14:solidFill>
              <w14:schemeClr w14:val="tx1"/>
            </w14:solidFill>
          </w14:textFill>
        </w:rPr>
        <w:t>利用我区智能消费头部企业较多的优势，组织企业积极开展家电以旧换新等相关促消费活动。</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bCs/>
          <w:color w:val="000000" w:themeColor="text1"/>
          <w:spacing w:val="0"/>
          <w:kern w:val="1"/>
          <w:sz w:val="32"/>
          <w:szCs w:val="32"/>
          <w:highlight w:val="none"/>
          <w:u w:val="none" w:color="auto"/>
          <w:lang w:val="en-US" w:eastAsia="zh-CN" w:bidi="ar-SA"/>
          <w14:textFill>
            <w14:solidFill>
              <w14:schemeClr w14:val="tx1"/>
            </w14:solidFill>
          </w14:textFill>
        </w:rPr>
        <w:t>进一步深化商文旅体融合发展理念，</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持续点亮夜间消费，继续打造</w:t>
      </w:r>
      <w:r>
        <w:rPr>
          <w:rFonts w:hint="eastAsia" w:ascii="仿宋_GB2312" w:hAnsi="仿宋_GB2312" w:eastAsia="仿宋_GB2312" w:cs="仿宋_GB2312"/>
          <w:color w:val="000000" w:themeColor="text1"/>
          <w:sz w:val="32"/>
          <w:szCs w:val="32"/>
          <w14:textFill>
            <w14:solidFill>
              <w14:schemeClr w14:val="tx1"/>
            </w14:solidFill>
          </w14:textFill>
        </w:rPr>
        <w:t>五棵松商圈</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、中关村、五道口、上地等重点商圈和特色街</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区，繁荣有海淀特色的夜间经济。（4）提升便民商业服务品质，进一步建设北部地区、三山五园地区便民</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商业网络。</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（5）发展多业态融合消费，</w:t>
      </w:r>
      <w:r>
        <w:rPr>
          <w:rFonts w:hint="eastAsia" w:ascii="仿宋_GB2312" w:hAnsi="仿宋_GB2312" w:eastAsia="仿宋_GB2312" w:cs="仿宋_GB2312"/>
          <w:b w:val="0"/>
          <w:bCs w:val="0"/>
          <w:color w:val="000000" w:themeColor="text1"/>
          <w:spacing w:val="0"/>
          <w:kern w:val="2"/>
          <w:sz w:val="32"/>
          <w:szCs w:val="32"/>
          <w:highlight w:val="none"/>
          <w:u w:val="none" w:color="auto"/>
          <w:shd w:val="clear" w:color="auto" w:fill="auto"/>
          <w:lang w:val="en-US" w:eastAsia="zh-CN" w:bidi="ar-SA"/>
          <w14:textFill>
            <w14:solidFill>
              <w14:schemeClr w14:val="tx1"/>
            </w14:solidFill>
          </w14:textFill>
        </w:rPr>
        <w:t>推进西山文旅资源统筹开发，打造阳台山古香道主题游径等旅游产品。</w:t>
      </w:r>
    </w:p>
    <w:p w14:paraId="1718A45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持续加大投资力度。</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建立“一项目一表”工作台账，压茬推动网安智谷产业园等重大项目按计划开工；北京腾讯学知园、中关村数字经济总部园、国家网络安全园二期等项目按节奏建设。</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（2）加强产业用地全生命周期管理，坚持先定项目后供土地，推动创新园A、B地块、翠湖A2地块等尽快达到供地条件。（3）</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重点推进翠湖B6、上地0702、宝山二期剩余地块、半壁店城中村改造等项目供应。（4）</w:t>
      </w: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提高政府</w:t>
      </w:r>
      <w:r>
        <w:rPr>
          <w:rFonts w:hint="eastAsia" w:ascii="仿宋_GB2312" w:hAnsi="仿宋_GB2312" w:eastAsia="仿宋_GB2312" w:cs="仿宋_GB2312"/>
          <w:b w:val="0"/>
          <w:bCs w:val="0"/>
          <w:snapToGrid w:val="0"/>
          <w:color w:val="000000" w:themeColor="text1"/>
          <w:spacing w:val="0"/>
          <w:kern w:val="0"/>
          <w:sz w:val="32"/>
          <w:szCs w:val="32"/>
          <w:highlight w:val="none"/>
          <w:lang w:val="en-US" w:eastAsia="zh-CN" w:bidi="ar-SA"/>
          <w14:textFill>
            <w14:solidFill>
              <w14:schemeClr w14:val="tx1"/>
            </w14:solidFill>
          </w14:textFill>
        </w:rPr>
        <w:t>投资效益，</w:t>
      </w:r>
      <w:r>
        <w:rPr>
          <w:rFonts w:hint="eastAsia" w:ascii="仿宋_GB2312" w:hAnsi="仿宋_GB2312" w:eastAsia="仿宋_GB2312" w:cs="仿宋_GB2312"/>
          <w:color w:val="000000" w:themeColor="text1"/>
          <w:spacing w:val="0"/>
          <w:kern w:val="0"/>
          <w:sz w:val="32"/>
          <w:szCs w:val="32"/>
          <w:highlight w:val="none"/>
          <w:lang w:val="en-US" w:eastAsia="zh-CN" w:bidi="ar-SA"/>
          <w14:textFill>
            <w14:solidFill>
              <w14:schemeClr w14:val="tx1"/>
            </w14:solidFill>
          </w14:textFill>
        </w:rPr>
        <w:t>用好中央预算内投资、超长期特别国债等多渠道资金，通过政府投资引导、撬动、吸引民间资本，激发民间投资活力。（5）</w:t>
      </w:r>
      <w:r>
        <w:rPr>
          <w:rFonts w:hint="eastAsia" w:ascii="仿宋_GB2312" w:hAnsi="仿宋_GB2312" w:eastAsia="仿宋_GB2312" w:cs="仿宋_GB2312"/>
          <w:snapToGrid w:val="0"/>
          <w:color w:val="000000" w:themeColor="text1"/>
          <w:spacing w:val="0"/>
          <w:kern w:val="0"/>
          <w:sz w:val="32"/>
          <w:szCs w:val="32"/>
          <w:highlight w:val="none"/>
          <w:lang w:val="en-US" w:eastAsia="zh-CN" w:bidi="ar-SA"/>
          <w14:textFill>
            <w14:solidFill>
              <w14:schemeClr w14:val="tx1"/>
            </w14:solidFill>
          </w14:textFill>
        </w:rPr>
        <w:t>完善</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海淀区固定资产投资项目全生命周期管理系统，健全重大项目谋划储备工作机制，持续推进政府投资建设项目“全过程、全周期、全方位”的</w:t>
      </w:r>
      <w:r>
        <w:rPr>
          <w:rFonts w:hint="eastAsia" w:ascii="仿宋_GB2312" w:hAnsi="仿宋_GB2312" w:eastAsia="仿宋_GB2312" w:cs="仿宋_GB2312"/>
          <w:snapToGrid w:val="0"/>
          <w:color w:val="000000" w:themeColor="text1"/>
          <w:spacing w:val="0"/>
          <w:kern w:val="0"/>
          <w:sz w:val="32"/>
          <w:szCs w:val="32"/>
          <w:highlight w:val="none"/>
          <w:lang w:val="en-US" w:eastAsia="zh-CN" w:bidi="ar-SA"/>
          <w14:textFill>
            <w14:solidFill>
              <w14:schemeClr w14:val="tx1"/>
            </w14:solidFill>
          </w14:textFill>
        </w:rPr>
        <w:t>监管</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机制。</w:t>
      </w:r>
    </w:p>
    <w:p w14:paraId="1454A9B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1"/>
        <w:rPr>
          <w:rFonts w:hint="default"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（二）人工智能驱动赋能，构建现代化产业体系</w:t>
      </w:r>
    </w:p>
    <w:p w14:paraId="2EDB00D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持续建设人工智能发展高地。</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加快</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北京人工智能公共算力平台建设，</w:t>
      </w:r>
      <w:r>
        <w:rPr>
          <w:rFonts w:hint="eastAsia" w:ascii="仿宋_GB2312" w:hAnsi="仿宋_GB2312" w:eastAsia="仿宋_GB2312" w:cs="仿宋_GB2312"/>
          <w:color w:val="000000" w:themeColor="text1"/>
          <w:spacing w:val="0"/>
          <w:kern w:val="0"/>
          <w:sz w:val="32"/>
          <w:szCs w:val="32"/>
          <w:highlight w:val="none"/>
          <w:u w:val="none" w:color="auto"/>
          <w:lang w:val="en-US" w:eastAsia="zh-CN" w:bidi="ar-SA"/>
          <w14:textFill>
            <w14:solidFill>
              <w14:schemeClr w14:val="tx1"/>
            </w14:solidFill>
          </w14:textFill>
        </w:rPr>
        <w:t>打造规模化智算集群</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。（2）开展国产芯片等基础软硬件适配验证，促进国产大模型和芯片持续迭代优化。</w:t>
      </w:r>
      <w:r>
        <w:rPr>
          <w:rFonts w:hint="eastAsia" w:ascii="仿宋_GB2312" w:hAnsi="仿宋_GB2312" w:eastAsia="仿宋_GB2312" w:cs="仿宋_GB2312"/>
          <w:color w:val="000000" w:themeColor="text1"/>
          <w:spacing w:val="0"/>
          <w:kern w:val="0"/>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布局大模型前沿算法和通用智能体等颠覆性技术路线，通过算力券等政策加快推动关键核心技术突破。（4）支持中关村学院建设运营，促进与国家重大任务和区域人工智能产业发展深度融合、相互赋能。（5）深入实施“人工智能+”行动，</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聚焦教育、医疗、金融等垂直领域挖掘项目，促进应用落地。（6）</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发挥清华人工智能学院等机构作用，打造东升创新孵化区域。</w:t>
      </w:r>
    </w:p>
    <w:p w14:paraId="67795757">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0"/>
          <w:sz w:val="32"/>
          <w:szCs w:val="32"/>
          <w:highlight w:val="none"/>
          <w:u w:val="none" w:color="auto"/>
          <w:lang w:val="en-US" w:eastAsia="zh-CN" w:bidi="ar-SA"/>
          <w14:textFill>
            <w14:solidFill>
              <w14:schemeClr w14:val="tx1"/>
            </w14:solidFill>
          </w14:textFill>
        </w:rPr>
        <w:t>壮大战略性新兴产业。</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0"/>
          <w:sz w:val="32"/>
          <w:szCs w:val="32"/>
          <w:lang w:val="en-US" w:eastAsia="zh-CN" w:bidi="ar-SA"/>
          <w14:textFill>
            <w14:solidFill>
              <w14:schemeClr w14:val="tx1"/>
            </w14:solidFill>
          </w14:textFill>
        </w:rPr>
        <w:t>做好“土地要素”“空间要素”市场化配置改革，打造统一规划、统一政策、统一标准、统一招商的产业园区，提高运营服务能力。</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bCs/>
          <w:color w:val="000000" w:themeColor="text1"/>
          <w:spacing w:val="0"/>
          <w:kern w:val="2"/>
          <w:sz w:val="32"/>
          <w:szCs w:val="32"/>
          <w:lang w:val="en-US" w:eastAsia="zh-CN" w:bidi="ar-SA"/>
          <w14:textFill>
            <w14:solidFill>
              <w14:schemeClr w14:val="tx1"/>
            </w14:solidFill>
          </w14:textFill>
        </w:rPr>
        <w:t>推动清华医学园区规划和“一医院一区域”合作模式，促进</w:t>
      </w:r>
      <w:r>
        <w:rPr>
          <w:rFonts w:hint="eastAsia" w:ascii="仿宋_GB2312" w:hAnsi="仿宋_GB2312" w:eastAsia="仿宋_GB2312" w:cs="仿宋_GB2312"/>
          <w:color w:val="000000" w:themeColor="text1"/>
          <w:spacing w:val="0"/>
          <w:kern w:val="0"/>
          <w:sz w:val="32"/>
          <w:szCs w:val="32"/>
          <w:lang w:val="en-US" w:eastAsia="zh-CN" w:bidi="ar-SA"/>
          <w14:textFill>
            <w14:solidFill>
              <w14:schemeClr w14:val="tx1"/>
            </w14:solidFill>
          </w14:textFill>
        </w:rPr>
        <w:t>院所医院成果转化</w:t>
      </w:r>
      <w:r>
        <w:rPr>
          <w:rFonts w:hint="eastAsia" w:ascii="仿宋_GB2312" w:hAnsi="仿宋_GB2312" w:eastAsia="仿宋_GB2312" w:cs="仿宋_GB2312"/>
          <w:bCs/>
          <w:color w:val="000000" w:themeColor="text1"/>
          <w:spacing w:val="0"/>
          <w:kern w:val="2"/>
          <w:sz w:val="32"/>
          <w:szCs w:val="32"/>
          <w:lang w:val="en-US" w:eastAsia="zh-CN" w:bidi="ar-SA"/>
          <w14:textFill>
            <w14:solidFill>
              <w14:schemeClr w14:val="tx1"/>
            </w14:solidFill>
          </w14:textFill>
        </w:rPr>
        <w:t>；</w:t>
      </w:r>
      <w:r>
        <w:rPr>
          <w:rFonts w:ascii="仿宋_GB2312" w:hAnsi="仿宋_GB2312" w:eastAsia="仿宋_GB2312" w:cs="仿宋_GB2312"/>
          <w:bCs/>
          <w:color w:val="000000" w:themeColor="text1"/>
          <w:spacing w:val="0"/>
          <w:kern w:val="0"/>
          <w:sz w:val="32"/>
          <w:szCs w:val="32"/>
          <w:lang w:val="en-US" w:eastAsia="zh-CN" w:bidi="ar-SA"/>
          <w14:textFill>
            <w14:solidFill>
              <w14:schemeClr w14:val="tx1"/>
            </w14:solidFill>
          </w14:textFill>
        </w:rPr>
        <w:t>整合数据</w:t>
      </w:r>
      <w:r>
        <w:rPr>
          <w:rFonts w:hint="eastAsia" w:ascii="仿宋_GB2312" w:hAnsi="仿宋_GB2312" w:eastAsia="仿宋_GB2312" w:cs="仿宋_GB2312"/>
          <w:bCs/>
          <w:color w:val="000000" w:themeColor="text1"/>
          <w:spacing w:val="0"/>
          <w:kern w:val="0"/>
          <w:sz w:val="32"/>
          <w:szCs w:val="32"/>
          <w:lang w:val="en-US" w:eastAsia="zh-CN" w:bidi="ar-SA"/>
          <w14:textFill>
            <w14:solidFill>
              <w14:schemeClr w14:val="tx1"/>
            </w14:solidFill>
          </w14:textFill>
        </w:rPr>
        <w:t>资源，</w:t>
      </w:r>
      <w:r>
        <w:rPr>
          <w:rFonts w:hint="eastAsia" w:ascii="仿宋_GB2312" w:hAnsi="仿宋_GB2312" w:eastAsia="仿宋_GB2312" w:cs="仿宋_GB2312"/>
          <w:bCs/>
          <w:color w:val="000000" w:themeColor="text1"/>
          <w:spacing w:val="0"/>
          <w:kern w:val="2"/>
          <w:sz w:val="32"/>
          <w:szCs w:val="32"/>
          <w:lang w:val="en-US" w:eastAsia="zh-CN" w:bidi="ar-SA"/>
          <w14:textFill>
            <w14:solidFill>
              <w14:schemeClr w14:val="tx1"/>
            </w14:solidFill>
          </w14:textFill>
        </w:rPr>
        <w:t>推进AI对新药研发、生物制造、智能诊疗的赋能，</w:t>
      </w:r>
      <w:r>
        <w:rPr>
          <w:rFonts w:hint="eastAsia" w:ascii="Times New Roman" w:hAnsi="Times New Roman" w:eastAsia="仿宋_GB2312" w:cs="Arial"/>
          <w:color w:val="000000" w:themeColor="text1"/>
          <w:spacing w:val="0"/>
          <w:kern w:val="0"/>
          <w:sz w:val="32"/>
          <w:szCs w:val="32"/>
          <w:lang w:val="en-US" w:eastAsia="zh-CN" w:bidi="ar-SA"/>
          <w14:textFill>
            <w14:solidFill>
              <w14:schemeClr w14:val="tx1"/>
            </w14:solidFill>
          </w14:textFill>
        </w:rPr>
        <w:t>加强与外资企业联动；布局</w:t>
      </w:r>
      <w:r>
        <w:rPr>
          <w:rFonts w:hint="eastAsia" w:ascii="仿宋_GB2312" w:hAnsi="仿宋_GB2312" w:eastAsia="仿宋_GB2312" w:cs="仿宋_GB2312"/>
          <w:color w:val="000000" w:themeColor="text1"/>
          <w:spacing w:val="0"/>
          <w:kern w:val="0"/>
          <w:sz w:val="32"/>
          <w:szCs w:val="32"/>
          <w:lang w:val="en-US" w:eastAsia="zh-CN" w:bidi="ar-SA"/>
          <w14:textFill>
            <w14:solidFill>
              <w14:schemeClr w14:val="tx1"/>
            </w14:solidFill>
          </w14:textFill>
        </w:rPr>
        <w:t>CGT、合成生物、脑机接口等细分领域，</w:t>
      </w:r>
      <w:r>
        <w:rPr>
          <w:rFonts w:hint="eastAsia" w:ascii="Times New Roman" w:hAnsi="Times New Roman" w:eastAsia="仿宋_GB2312" w:cs="Arial"/>
          <w:color w:val="000000" w:themeColor="text1"/>
          <w:spacing w:val="0"/>
          <w:kern w:val="0"/>
          <w:sz w:val="32"/>
          <w:szCs w:val="32"/>
          <w:lang w:val="en-US" w:eastAsia="zh-CN" w:bidi="ar-SA"/>
          <w14:textFill>
            <w14:solidFill>
              <w14:schemeClr w14:val="tx1"/>
            </w14:solidFill>
          </w14:textFill>
        </w:rPr>
        <w:t>完善共性技术平台和孵化平台建设。</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3）集成电路领域，持续开展延链补链，布局测试验证共性技术服务平台，助力建设先进封装线；支持“两核一桥”研发及RISC-V+AI的产业化工作，持续推动集成电路设计园二期招商运营，打造集成电路产业又一集聚区。</w:t>
      </w:r>
      <w:r>
        <w:rPr>
          <w:rFonts w:hint="eastAsia" w:ascii="仿宋_GB2312" w:hAnsi="仿宋_GB2312" w:eastAsia="仿宋_GB2312" w:cs="仿宋_GB2312"/>
          <w:b w:val="0"/>
          <w:bCs w:val="0"/>
          <w:vanish w:val="0"/>
          <w:color w:val="000000" w:themeColor="text1"/>
          <w:spacing w:val="0"/>
          <w:w w:val="100"/>
          <w:kern w:val="0"/>
          <w:sz w:val="32"/>
          <w:szCs w:val="32"/>
          <w:highlight w:val="none"/>
          <w:u w:val="none" w:color="auto"/>
          <w:lang w:val="en-US" w:eastAsia="zh-CN" w:bidi="ar-SA"/>
          <w14:textFill>
            <w14:solidFill>
              <w14:schemeClr w14:val="tx1"/>
            </w14:solidFill>
          </w14:textFill>
        </w:rPr>
        <w:t>（4）推动商业航天产业集聚区建设；依托商业航天创新中心和星辰未来研究院开展人工智能和商业航天融合应用；谋划低空技术领域重点项目和应用示范。</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（5）持续推动建设未来能源产业园，</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
          <w14:textFill>
            <w14:solidFill>
              <w14:schemeClr w14:val="tx1"/>
            </w14:solidFill>
          </w14:textFill>
        </w:rPr>
        <w:t>依托国际氢能中心建设项目孵化平台和测试平台。</w:t>
      </w:r>
    </w:p>
    <w:p w14:paraId="57A93A2A">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0"/>
          <w:sz w:val="32"/>
          <w:szCs w:val="32"/>
          <w:highlight w:val="none"/>
          <w:u w:val="none" w:color="auto"/>
          <w:lang w:val="en-US" w:eastAsia="zh-CN" w:bidi="ar-SA"/>
          <w14:textFill>
            <w14:solidFill>
              <w14:schemeClr w14:val="tx1"/>
            </w14:solidFill>
          </w14:textFill>
        </w:rPr>
        <w:t>积极培育未来产业。</w:t>
      </w:r>
      <w:r>
        <w:rPr>
          <w:rFonts w:hint="eastAsia" w:ascii="仿宋_GB2312" w:hAnsi="仿宋_GB2312" w:eastAsia="仿宋_GB2312" w:cs="仿宋_GB2312"/>
          <w:b w:val="0"/>
          <w:bCs w:val="0"/>
          <w:vanish w:val="0"/>
          <w:color w:val="000000" w:themeColor="text1"/>
          <w:spacing w:val="0"/>
          <w:w w:val="100"/>
          <w:kern w:val="0"/>
          <w:sz w:val="32"/>
          <w:szCs w:val="32"/>
          <w:highlight w:val="none"/>
          <w:u w:val="none" w:color="auto"/>
          <w:lang w:val="en-US" w:eastAsia="zh-CN" w:bidi="ar"/>
          <w14:textFill>
            <w14:solidFill>
              <w14:schemeClr w14:val="tx1"/>
            </w14:solidFill>
          </w14:textFill>
        </w:rPr>
        <w:t>（1）</w:t>
      </w:r>
      <w:r>
        <w:rPr>
          <w:rFonts w:hint="eastAsia" w:ascii="仿宋_GB2312" w:hAnsi="仿宋_GB2312" w:eastAsia="仿宋_GB2312" w:cs="仿宋_GB2312"/>
          <w:b w:val="0"/>
          <w:bCs w:val="0"/>
          <w:vanish w:val="0"/>
          <w:color w:val="000000" w:themeColor="text1"/>
          <w:spacing w:val="0"/>
          <w:w w:val="100"/>
          <w:kern w:val="0"/>
          <w:sz w:val="32"/>
          <w:szCs w:val="32"/>
          <w:highlight w:val="none"/>
          <w:u w:val="none" w:color="auto"/>
          <w:lang w:val="en-US" w:eastAsia="zh-CN" w:bidi="ar-SA"/>
          <w14:textFill>
            <w14:solidFill>
              <w14:schemeClr w14:val="tx1"/>
            </w14:solidFill>
          </w14:textFill>
        </w:rPr>
        <w:t>支持北京具身智能研究院、机器</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人概念验证与中试测试平台、具身智能创新平台建设，规划具身智能聚集区，落地一批应用场景，加快推动具身智能产业发展。（2）</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
          <w14:textFill>
            <w14:solidFill>
              <w14:schemeClr w14:val="tx1"/>
            </w14:solidFill>
          </w14:textFill>
        </w:rPr>
        <w:t>依托北京量子院等创新主体开展前沿技术攻关，以中关村量子科技孵化器和中关村（海淀）量子科技未来产业园为载体，结合量子信息产业基金，开展科技成果落地转化，吸引企业集聚，扩大产业规模</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
          <w14:textFill>
            <w14:solidFill>
              <w14:schemeClr w14:val="tx1"/>
            </w14:solidFill>
          </w14:textFill>
        </w:rPr>
        <w:t>。</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（3）突破端到端大模型、高性能高安全高可靠车规级MCU等前沿技术，建设智能网联汽车仿真测试公共平台，探索应用场景牵引产业发展新机制。</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
          <w14:textFill>
            <w14:solidFill>
              <w14:schemeClr w14:val="tx1"/>
            </w14:solidFill>
          </w14:textFill>
        </w:rPr>
        <w:t>（4）依托中关村泛联院筹建北京6G实验室，鼓励人工智能、自动驾驶、泛机器人、工业互联网等产业领域龙头企业参与实验室建设；支持建设6G端到端共性技术平台和试验网络，形成通用灵活的系统验证能力。</w:t>
      </w:r>
    </w:p>
    <w:p w14:paraId="0A11D97B">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（三）聚焦多要素融合，建设世界领先科技园区</w:t>
      </w:r>
    </w:p>
    <w:p w14:paraId="7246B5A6">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楷体_GB2312" w:hAnsi="Courier New" w:eastAsia="楷体_GB2312" w:cs="Courier New"/>
          <w:bCs/>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宋体" w:hAnsi="Courier New" w:eastAsia="仿宋_GB2312" w:cs="Courier New"/>
          <w:b/>
          <w:bCs/>
          <w:color w:val="000000" w:themeColor="text1"/>
          <w:spacing w:val="0"/>
          <w:kern w:val="2"/>
          <w:sz w:val="32"/>
          <w:szCs w:val="32"/>
          <w:highlight w:val="none"/>
          <w:u w:val="none" w:color="auto"/>
          <w:lang w:val="en-US" w:eastAsia="zh-CN" w:bidi="ar-SA"/>
          <w14:textFill>
            <w14:solidFill>
              <w14:schemeClr w14:val="tx1"/>
            </w14:solidFill>
          </w14:textFill>
        </w:rPr>
        <w:t>打造科技创新高地。</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推进国家实验室建设和优质成果转化，进一步做好实验室属地保障、园区建设相关事宜，紧盯实验室“沿途下蛋”优质项目转化。</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（2）优化服务对接高校院所</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、医疗机构</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等创新主体工作机制，建立高校院所</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、医疗机构</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等科技资源库和信息化服务系统，提升科技资源对产业的支持能力</w:t>
      </w:r>
      <w:r>
        <w:rPr>
          <w:rFonts w:hint="eastAsia" w:ascii="仿宋_GB2312" w:hAnsi="仿宋_GB2312"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持续扩大海淀联合基金规模，</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发挥国基金作用，加强产学研合作和成果落地转化。（4）</w:t>
      </w:r>
      <w:r>
        <w:rPr>
          <w:rFonts w:hint="eastAsia" w:ascii="仿宋_GB2312" w:hAnsi="仿宋_GB2312"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支持新型研发机构创新发展，同步提升沿途成果转化水平。</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w:t>
      </w:r>
      <w:r>
        <w:rPr>
          <w:rFonts w:hint="eastAsia" w:ascii="仿宋_GB2312" w:hAnsi="仿宋_GB2312"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持续推动概念验证中心建设，</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逐步形成概念验证中心自发建设机制。</w:t>
      </w:r>
    </w:p>
    <w:p w14:paraId="50E8ABB3">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default" w:ascii="宋体" w:hAnsi="Courier New"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宋体" w:hAnsi="Courier New" w:eastAsia="仿宋_GB2312" w:cs="Courier New"/>
          <w:b/>
          <w:bCs/>
          <w:color w:val="000000" w:themeColor="text1"/>
          <w:spacing w:val="0"/>
          <w:kern w:val="2"/>
          <w:sz w:val="32"/>
          <w:szCs w:val="32"/>
          <w:highlight w:val="none"/>
          <w:u w:val="none" w:color="auto"/>
          <w:lang w:val="en-US" w:eastAsia="zh-CN" w:bidi="ar-SA"/>
          <w14:textFill>
            <w14:solidFill>
              <w14:schemeClr w14:val="tx1"/>
            </w14:solidFill>
          </w14:textFill>
        </w:rPr>
        <w:t>构筑人才汇聚高峰。</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用足用好市区政策，进一步放大引才政策叠加优势，强化人才激励机制，加大对急需紧缺人才的引进力度。（2）探索建立“政府+专业机构+企业”的三重人才服务模式，细分人才类型，系统研究各类人才需求，全面提升人才感受度、满意度，加强服务保障。（3）围绕海内外人工智能人才现状、分布情况等开展综合调研分析，吸引集聚重点产业人才。（4）加强与人工智能相关专业机构、重点企业、专家人才等的沟通联系，服务引进紧缺人才，做好人才培育，打造人才梯队。（5）强化人才氛围营造，举办北京国际青年创新发展论坛、“智汇·海淀”人才主题周等产才交流活动，用好海淀夜校、北京国际AI人才创新联盟等平台，促进青年人才创新创业，进一步营造识才爱才敬才用才的浓厚氛围。（6）</w:t>
      </w:r>
      <w:r>
        <w:rPr>
          <w:rFonts w:hint="eastAsia" w:ascii="仿宋_GB2312" w:hAnsi="黑体"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t>支持新型研发机构、高新技术企业、专精特新“小巨人”企业等技术领先型单位设立博士后科研工作站或园区类分站，加大博士后人才培养力度。</w:t>
      </w:r>
      <w:r>
        <w:rPr>
          <w:rFonts w:hint="eastAsia" w:ascii="仿宋_GB2312" w:hAnsi="楷体_GB2312" w:eastAsia="仿宋_GB2312" w:cs="楷体_GB2312"/>
          <w:bCs/>
          <w:color w:val="000000" w:themeColor="text1"/>
          <w:spacing w:val="0"/>
          <w:kern w:val="2"/>
          <w:sz w:val="32"/>
          <w:szCs w:val="32"/>
          <w:highlight w:val="none"/>
          <w:u w:val="none" w:color="auto"/>
          <w:lang w:val="en-US" w:eastAsia="zh-CN" w:bidi="ar-SA"/>
          <w14:textFill>
            <w14:solidFill>
              <w14:schemeClr w14:val="tx1"/>
            </w14:solidFill>
          </w14:textFill>
        </w:rPr>
        <w:t>（7）加强国际化人才培养，持续办好国际化人才实训班，并积极引进海外高层次人才和团队。</w:t>
      </w:r>
    </w:p>
    <w:p w14:paraId="22195A20">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厚植文化创新沃土。</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b w:val="0"/>
          <w:bCs w:val="0"/>
          <w:color w:val="000000" w:themeColor="text1"/>
          <w:spacing w:val="0"/>
          <w:kern w:val="2"/>
          <w:sz w:val="32"/>
          <w:szCs w:val="32"/>
          <w:highlight w:val="none"/>
          <w:u w:val="none"/>
          <w:shd w:val="clear" w:color="auto" w:fill="auto"/>
          <w:lang w:val="en-US" w:eastAsia="zh-CN" w:bidi="ar-SA"/>
          <w14:textFill>
            <w14:solidFill>
              <w14:schemeClr w14:val="tx1"/>
            </w14:solidFill>
          </w14:textFill>
        </w:rPr>
        <w:t>健全海外媒体传播矩阵，打造传播力强、影响力大的重点账号，增强国际影响力。</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盘活文化资源，建设大型标志性的公共文化设施，统筹推进北部文化中心图书馆升级改造工作等重点项目落地。（3）推进第四次全国文物普查，完善不可移动文物资源总目录和数据库，实现文物资源资产动态管理。（4）深挖具有海淀特色的文化资源，加强多样化、高品质公共文化供给，持续打磨提升迎新春系列文化活动、中关村主题系列活动、“三山五园”主题系列活动、非物质文化遗产保护项目、传统节日及重要节庆系列活动。（5）推进重大文旅项目建设，完善翠湖R地块项目重大谋划。</w:t>
      </w:r>
    </w:p>
    <w:p w14:paraId="0CB3A67F">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Courier New" w:eastAsia="仿宋_GB2312" w:cs="Courier New"/>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宋体" w:hAnsi="Courier New" w:eastAsia="仿宋_GB2312" w:cs="Courier New"/>
          <w:b/>
          <w:bCs/>
          <w:color w:val="000000" w:themeColor="text1"/>
          <w:spacing w:val="0"/>
          <w:kern w:val="2"/>
          <w:sz w:val="32"/>
          <w:szCs w:val="32"/>
          <w:highlight w:val="none"/>
          <w:u w:val="none" w:color="auto"/>
          <w:lang w:val="en-US" w:eastAsia="zh-CN" w:bidi="ar-SA"/>
          <w14:textFill>
            <w14:solidFill>
              <w14:schemeClr w14:val="tx1"/>
            </w14:solidFill>
          </w14:textFill>
        </w:rPr>
        <w:t>优化创新生态布局。</w:t>
      </w:r>
      <w:r>
        <w:rPr>
          <w:rFonts w:hint="eastAsia" w:ascii="仿宋_GB2312" w:hAnsi="仿宋_GB2312" w:eastAsia="仿宋_GB2312" w:cs="Courier New"/>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楷体_GB2312" w:eastAsia="仿宋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做好本轮</w:t>
      </w:r>
      <w:r>
        <w:rPr>
          <w:rFonts w:hint="eastAsia" w:ascii="仿宋_GB2312" w:hAnsi="仿宋" w:eastAsia="仿宋_GB2312" w:cs="Courier New"/>
          <w:b w:val="0"/>
          <w:bCs w:val="0"/>
          <w:color w:val="000000" w:themeColor="text1"/>
          <w:spacing w:val="0"/>
          <w:kern w:val="2"/>
          <w:sz w:val="32"/>
          <w:szCs w:val="32"/>
          <w:highlight w:val="none"/>
          <w:u w:val="none" w:color="auto"/>
          <w:lang w:val="en-US" w:eastAsia="zh-CN" w:bidi="ar-SA"/>
          <w14:textFill>
            <w14:solidFill>
              <w14:schemeClr w14:val="tx1"/>
            </w14:solidFill>
          </w14:textFill>
        </w:rPr>
        <w:t>先行先试改革工作总结、宣传推广，推动新一批先行先试改革落地</w:t>
      </w:r>
      <w:r>
        <w:rPr>
          <w:rFonts w:hint="eastAsia" w:ascii="仿宋_GB2312" w:hAnsi="楷体_GB2312" w:eastAsia="仿宋_GB2312" w:cs="楷体_GB2312"/>
          <w:b w:val="0"/>
          <w:bCs/>
          <w:color w:val="000000" w:themeColor="text1"/>
          <w:spacing w:val="0"/>
          <w:kern w:val="2"/>
          <w:sz w:val="32"/>
          <w:szCs w:val="32"/>
          <w:highlight w:val="none"/>
          <w:u w:val="none" w:color="auto"/>
          <w:lang w:val="en-US" w:eastAsia="zh-CN" w:bidi="ar-SA"/>
          <w14:textFill>
            <w14:solidFill>
              <w14:schemeClr w14:val="tx1"/>
            </w14:solidFill>
          </w14:textFill>
        </w:rPr>
        <w:t>。（2）</w:t>
      </w:r>
      <w:r>
        <w:rPr>
          <w:rFonts w:hint="default"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研究支持科技中小企业创新发展</w:t>
      </w:r>
      <w:r>
        <w:rPr>
          <w:rFonts w:hint="eastAsia"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、科技创新平台发展升级</w:t>
      </w:r>
      <w:r>
        <w:rPr>
          <w:rFonts w:hint="default"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版</w:t>
      </w:r>
      <w:r>
        <w:rPr>
          <w:rFonts w:hint="eastAsia"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措施，</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提升政策支持精准度和易得性。</w:t>
      </w:r>
      <w:r>
        <w:rPr>
          <w:rFonts w:hint="eastAsia" w:ascii="仿宋_GB2312" w:hAnsi="宋体" w:eastAsia="仿宋_GB2312" w:cs="宋体"/>
          <w:color w:val="000000" w:themeColor="text1"/>
          <w:spacing w:val="0"/>
          <w:kern w:val="0"/>
          <w:sz w:val="32"/>
          <w:szCs w:val="32"/>
          <w:highlight w:val="none"/>
          <w:u w:val="none" w:color="auto"/>
          <w:lang w:val="en-US" w:eastAsia="zh-CN" w:bidi="ar"/>
          <w14:textFill>
            <w14:solidFill>
              <w14:schemeClr w14:val="tx1"/>
            </w14:solidFill>
          </w14:textFill>
        </w:rPr>
        <w:t>（3）探索创新要素共享新模式，完善共建共享机制。支持鼓励企业、高校、科研院所创新成果向协作区域落地转化，推动创新链与产业链深度融合。</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（4）针对</w:t>
      </w:r>
      <w:r>
        <w:rPr>
          <w:rFonts w:hint="eastAsia" w:ascii="仿宋_GB2312" w:hAnsi="Courier New" w:eastAsia="仿宋_GB2312" w:cs="Courier New"/>
          <w:bCs/>
          <w:color w:val="000000" w:themeColor="text1"/>
          <w:spacing w:val="0"/>
          <w:kern w:val="2"/>
          <w:sz w:val="32"/>
          <w:szCs w:val="32"/>
          <w:highlight w:val="none"/>
          <w:u w:val="none" w:color="auto"/>
          <w:lang w:val="en-US" w:eastAsia="zh-CN" w:bidi="ar-SA"/>
          <w14:textFill>
            <w14:solidFill>
              <w14:schemeClr w14:val="tx1"/>
            </w14:solidFill>
          </w14:textFill>
        </w:rPr>
        <w:t>上地、西三旗、田村及四环内零散分布的工业及仓储类用地，引入优质产业项目。</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（5）持续推进国家知识产权保护示范区建设，进一步提升知识产权保护和运用水平。</w:t>
      </w:r>
    </w:p>
    <w:p w14:paraId="331EEBE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提升金融服务能级。</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搭建“1+1+N”投融资对接平台，挂牌一批科技金融服务驿站，加大与产业部门协同力度，探索建立科技企业融资白名单，推动建立金融服务科技创新效果评估机制。（2）加大股权投资机构聚集力度，优化创投发展生态，完善股权投资机构准入机制，推动私募基金注册线上办理。（3）优化金融发展环境，支持举办中关村“番钛客”金融科技国际创新大赛。（4）</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研究中关村科学城科技成长三期基金组织架构与执行策略，做强“投海听韬”、投资人大会等投资品牌活动。</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（5）优化财金协同管理，做好政府投资基金日常监管工作，加强基金监管。争取更多产业基金、上级政策资金、金融机构资金等资金“活水”服务我区产业。</w:t>
      </w:r>
    </w:p>
    <w:p w14:paraId="12284ABC">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0" w:firstLineChars="200"/>
        <w:jc w:val="both"/>
        <w:textAlignment w:val="auto"/>
        <w:outlineLvl w:val="1"/>
        <w:rPr>
          <w:rFonts w:hint="default" w:ascii="楷体_GB2312" w:hAnsi="楷体_GB2312" w:eastAsia="楷体_GB2312" w:cs="楷体_GB2312"/>
          <w:color w:val="000000" w:themeColor="text1"/>
          <w:spacing w:val="0"/>
          <w:kern w:val="2"/>
          <w:sz w:val="32"/>
          <w:szCs w:val="32"/>
          <w:u w:val="none" w:color="auto"/>
          <w:lang w:val="en-US" w:eastAsia="zh-CN" w:bidi="ar-SA"/>
          <w14:textFill>
            <w14:solidFill>
              <w14:schemeClr w14:val="tx1"/>
            </w14:solidFill>
          </w14:textFill>
        </w:rPr>
      </w:pPr>
      <w:r>
        <w:rPr>
          <w:rFonts w:hint="eastAsia" w:ascii="楷体_GB2312" w:hAnsi="楷体_GB2312" w:eastAsia="楷体_GB2312" w:cs="楷体_GB2312"/>
          <w:color w:val="000000" w:themeColor="text1"/>
          <w:spacing w:val="0"/>
          <w:kern w:val="2"/>
          <w:sz w:val="32"/>
          <w:szCs w:val="32"/>
          <w:u w:val="none" w:color="auto"/>
          <w:lang w:val="en-US" w:eastAsia="zh-CN" w:bidi="ar-SA"/>
          <w14:textFill>
            <w14:solidFill>
              <w14:schemeClr w14:val="tx1"/>
            </w14:solidFill>
          </w14:textFill>
        </w:rPr>
        <w:t>（四）锚定发展远景目标，加快规划落地实施</w:t>
      </w:r>
    </w:p>
    <w:p w14:paraId="396FAF76">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u w:val="none" w:color="auto"/>
          <w:lang w:val="en-US" w:eastAsia="zh-CN" w:bidi="ar-SA"/>
          <w14:textFill>
            <w14:solidFill>
              <w14:schemeClr w14:val="tx1"/>
            </w14:solidFill>
          </w14:textFill>
        </w:rPr>
        <w:t>提升“四个服务”水平。</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（1）高水平服务保障中关村论坛、中国国际服务贸易交易会等重要国际会议活动，完成中央和北京市交办的重要党宾国宾团组参访接待任务。（2）聚</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焦中关村论坛等大事要事，全力加强重点地区安全管控，做好重大活动服务保障。</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研究建立区域融合发展机制，在“三城一区”、京津冀更大范围内整合创新资源、布局产业链条，深度融入京津冀都市圈。（4）</w:t>
      </w:r>
      <w:r>
        <w:rPr>
          <w:rFonts w:hint="eastAsia" w:ascii="仿宋_GB2312" w:hAnsi="Courier New" w:eastAsia="仿宋_GB2312" w:cs="Courier New"/>
          <w:snapToGrid w:val="0"/>
          <w:color w:val="000000" w:themeColor="text1"/>
          <w:spacing w:val="0"/>
          <w:kern w:val="2"/>
          <w:sz w:val="32"/>
          <w:szCs w:val="32"/>
          <w:lang w:val="en-US" w:eastAsia="zh-CN" w:bidi="ar-SA"/>
          <w14:textFill>
            <w14:solidFill>
              <w14:schemeClr w14:val="tx1"/>
            </w14:solidFill>
          </w14:textFill>
        </w:rPr>
        <w:t>围绕创建新一轮全国双拥模范城总体安排，持续打造新时代双拥创</w:t>
      </w:r>
      <w:r>
        <w:rPr>
          <w:rFonts w:ascii="仿宋_GB2312" w:hAnsi="Courier New" w:eastAsia="仿宋_GB2312" w:cs="Courier New"/>
          <w:snapToGrid w:val="0"/>
          <w:color w:val="000000" w:themeColor="text1"/>
          <w:spacing w:val="0"/>
          <w:kern w:val="2"/>
          <w:sz w:val="32"/>
          <w:szCs w:val="32"/>
          <w:lang w:val="en-US" w:eastAsia="zh-CN" w:bidi="ar-SA"/>
          <w14:textFill>
            <w14:solidFill>
              <w14:schemeClr w14:val="tx1"/>
            </w14:solidFill>
          </w14:textFill>
        </w:rPr>
        <w:t>建海淀品牌和亮点</w:t>
      </w:r>
      <w:r>
        <w:rPr>
          <w:rFonts w:hint="eastAsia" w:ascii="仿宋_GB2312" w:hAnsi="Courier New" w:eastAsia="仿宋_GB2312" w:cs="Courier New"/>
          <w:snapToGrid w:val="0"/>
          <w:color w:val="000000" w:themeColor="text1"/>
          <w:spacing w:val="0"/>
          <w:kern w:val="2"/>
          <w:sz w:val="32"/>
          <w:szCs w:val="32"/>
          <w:lang w:val="en-US" w:eastAsia="zh-CN" w:bidi="ar-SA"/>
          <w14:textFill>
            <w14:solidFill>
              <w14:schemeClr w14:val="tx1"/>
            </w14:solidFill>
          </w14:textFill>
        </w:rPr>
        <w:t>。</w:t>
      </w:r>
    </w:p>
    <w:p w14:paraId="5002FB60">
      <w:pPr>
        <w:keepNext w:val="0"/>
        <w:keepLines w:val="0"/>
        <w:pageBreakBefore w:val="0"/>
        <w:widowControl w:val="0"/>
        <w:numPr>
          <w:ilvl w:val="0"/>
          <w:numId w:val="0"/>
        </w:numPr>
        <w:suppressAutoHyphens/>
        <w:kinsoku/>
        <w:wordWrap/>
        <w:overflowPunct w:val="0"/>
        <w:topLinePunct w:val="0"/>
        <w:autoSpaceDE/>
        <w:autoSpaceDN/>
        <w:bidi w:val="0"/>
        <w:adjustRightInd/>
        <w:snapToGrid/>
        <w:spacing w:line="560" w:lineRule="exact"/>
        <w:ind w:left="0" w:leftChars="0" w:firstLine="643" w:firstLineChars="200"/>
        <w:jc w:val="both"/>
        <w:textAlignment w:val="auto"/>
        <w:outlineLvl w:val="9"/>
        <w:rPr>
          <w:rFonts w:hint="eastAsia" w:ascii="仿宋_GB2312" w:hAnsi="仿宋_GB2312" w:eastAsia="仿宋_GB2312" w:cs="仿宋_GB2312"/>
          <w:bCs/>
          <w:color w:val="000000" w:themeColor="text1"/>
          <w:spacing w:val="0"/>
          <w:sz w:val="32"/>
          <w:szCs w:val="32"/>
          <w:highlight w:val="none"/>
          <w:u w:val="none" w:color="auto"/>
          <w:lang w:val="en-US" w:eastAsia="zh-CN"/>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u w:val="none" w:color="auto"/>
          <w:lang w:val="en-US" w:eastAsia="zh-CN"/>
          <w14:textFill>
            <w14:solidFill>
              <w14:schemeClr w14:val="tx1"/>
            </w14:solidFill>
          </w14:textFill>
        </w:rPr>
        <w:t>精耕规划编制工作。</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（1）按照</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“十四五”</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中期评估进展推进工作，确保</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“十四五”顺利收官；高质量做好“十五五”规划前期研究及规划编制工作，</w:t>
      </w:r>
      <w:r>
        <w:rPr>
          <w:rFonts w:hint="eastAsia" w:ascii="仿宋_GB2312" w:hAnsi="仿宋_GB2312" w:eastAsia="仿宋_GB2312" w:cs="仿宋_GB2312"/>
          <w:color w:val="000000" w:themeColor="text1"/>
          <w:spacing w:val="0"/>
          <w:sz w:val="32"/>
          <w:szCs w:val="32"/>
          <w14:textFill>
            <w14:solidFill>
              <w14:schemeClr w14:val="tx1"/>
            </w14:solidFill>
          </w14:textFill>
        </w:rPr>
        <w:t>谋划好“十五五”时期重大项目、重大改革措施、重大应用场景“三张清单”</w:t>
      </w:r>
      <w:r>
        <w:rPr>
          <w:rFonts w:hint="eastAsia" w:ascii="仿宋_GB2312" w:hAnsi="仿宋_GB2312"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，突出规划的战略性、引领性和实操性。</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（2）</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落实三山五园地区整体保护规划要求，推进香山地区有机更新，谋划香山地区人居环境整体提升。</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（3）</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扎实推进北区0116等7个街区控规市级审查及0421等2个街区控规编报工作，</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科学配置资源要素，补齐三大设施短板</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（4）</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深化地铁19号线支线北延方案，加快线路向故宫北院延伸</w:t>
      </w:r>
      <w:r>
        <w:rPr>
          <w:rFonts w:hint="eastAsia" w:ascii="仿宋_GB2312" w:hAnsi="仿宋_GB2312" w:eastAsia="仿宋_GB2312" w:cs="仿宋_GB2312"/>
          <w:color w:val="000000" w:themeColor="text1"/>
          <w:spacing w:val="0"/>
          <w:sz w:val="32"/>
          <w:szCs w:val="32"/>
          <w:highlight w:val="none"/>
          <w:u w:val="none" w:color="auto"/>
          <w:lang w:eastAsia="zh-CN"/>
          <w14:textFill>
            <w14:solidFill>
              <w14:schemeClr w14:val="tx1"/>
            </w14:solidFill>
          </w14:textFill>
        </w:rPr>
        <w:t>。</w:t>
      </w:r>
    </w:p>
    <w:p w14:paraId="5298198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加速城市化进程。</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推进</w:t>
      </w:r>
      <w:r>
        <w:rPr>
          <w:rFonts w:hint="eastAsia" w:ascii="仿宋_GB2312" w:hAnsi="仿宋_GB2312" w:eastAsia="仿宋_GB2312" w:cs="仿宋_GB2312"/>
          <w:b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中关村东区A组团改造工作，同步启动B组团规划设计方案和公示意见征询工作。</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推动城中村项目改造工作。积极推动改造范围内的剩余非宅腾退，</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做好北区整村腾退收尾工作</w:t>
      </w:r>
      <w:r>
        <w:rPr>
          <w:rFonts w:hint="eastAsia" w:ascii="仿宋_GB2312" w:hAnsi="仿宋_GB2312" w:eastAsia="仿宋_GB2312" w:cs="仿宋_GB2312"/>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，加快上市地块的征地及上市程序。</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（3）聚力推动</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温泉白家疃、永丰K地块</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等安置房项目开工建设，</w:t>
      </w:r>
      <w:r>
        <w:rPr>
          <w:rFonts w:hint="eastAsia" w:ascii="仿宋_GB2312" w:hAnsi="仿宋_GB2312" w:eastAsia="仿宋_GB2312" w:cs="仿宋_GB2312"/>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尽快</w:t>
      </w:r>
      <w:r>
        <w:rPr>
          <w:rFonts w:hint="eastAsia" w:ascii="仿宋_GB2312" w:hAnsi="仿宋_GB2312" w:eastAsia="仿宋_GB2312" w:cs="仿宋_GB2312"/>
          <w:color w:val="000000" w:themeColor="text1"/>
          <w:spacing w:val="2"/>
          <w:kern w:val="2"/>
          <w:sz w:val="32"/>
          <w:szCs w:val="32"/>
          <w:highlight w:val="none"/>
          <w:u w:val="none" w:color="auto"/>
          <w:shd w:val="clear" w:color="auto" w:fill="FFFFFF"/>
          <w:lang w:val="en-US" w:eastAsia="zh-CN" w:bidi="ar-SA"/>
          <w14:textFill>
            <w14:solidFill>
              <w14:schemeClr w14:val="tx1"/>
            </w14:solidFill>
          </w14:textFill>
        </w:rPr>
        <w:t>实现投资纳统和现房交房；</w:t>
      </w:r>
      <w:r>
        <w:rPr>
          <w:rFonts w:hint="eastAsia" w:ascii="仿宋_GB2312" w:hAnsi="仿宋_GB2312" w:eastAsia="仿宋_GB2312" w:cs="仿宋_GB2312"/>
          <w:b w:val="0"/>
          <w:bCs w:val="0"/>
          <w:color w:val="000000" w:themeColor="text1"/>
          <w:spacing w:val="2"/>
          <w:kern w:val="2"/>
          <w:sz w:val="32"/>
          <w:szCs w:val="32"/>
          <w:highlight w:val="none"/>
          <w:u w:val="none" w:color="auto"/>
          <w:lang w:val="en-US" w:eastAsia="zh-CN" w:bidi="ar-SA"/>
          <w14:textFill>
            <w14:solidFill>
              <w14:schemeClr w14:val="tx1"/>
            </w14:solidFill>
          </w14:textFill>
        </w:rPr>
        <w:t>滚动推进冷泉安置房前期手续办理工作。（4）</w:t>
      </w:r>
      <w:r>
        <w:rPr>
          <w:rFonts w:hint="eastAsia" w:ascii="仿宋_GB2312" w:hAnsi="仿宋_GB2312" w:eastAsia="仿宋_GB2312" w:cs="仿宋_GB2312"/>
          <w:color w:val="000000" w:themeColor="text1"/>
          <w:spacing w:val="2"/>
          <w:kern w:val="2"/>
          <w:sz w:val="32"/>
          <w:szCs w:val="32"/>
          <w:highlight w:val="none"/>
          <w:u w:val="none" w:color="auto"/>
          <w:lang w:val="en-US" w:eastAsia="zh-CN" w:bidi="ar-SA"/>
          <w14:textFill>
            <w14:solidFill>
              <w14:schemeClr w14:val="tx1"/>
            </w14:solidFill>
          </w14:textFill>
        </w:rPr>
        <w:t>稳妥推进撤村建居，督促指导剩余非保留村的撤村工作。</w:t>
      </w:r>
    </w:p>
    <w:p w14:paraId="6AFB7610">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（五）推进美丽海淀建设，生态环境品质提升</w:t>
      </w:r>
    </w:p>
    <w:p w14:paraId="3AFA72A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仿宋_GB2312" w:hAnsi="Arial" w:eastAsia="仿宋_GB2312" w:cs="Arial"/>
          <w:color w:val="000000" w:themeColor="text1"/>
          <w:spacing w:val="0"/>
          <w:kern w:val="0"/>
          <w:sz w:val="32"/>
          <w:szCs w:val="32"/>
          <w:highlight w:val="none"/>
          <w:u w:val="none" w:color="auto"/>
          <w:lang w:val="en-US" w:eastAsia="zh-CN" w:bidi="ar-SA"/>
          <w14:textFill>
            <w14:solidFill>
              <w14:schemeClr w14:val="tx1"/>
            </w14:solidFill>
          </w14:textFill>
        </w:rPr>
      </w:pPr>
      <w:r>
        <w:rPr>
          <w:rFonts w:hint="eastAsia" w:ascii="仿宋_GB2312" w:hAnsi="Arial" w:eastAsia="仿宋_GB2312" w:cs="Arial"/>
          <w:b/>
          <w:bCs/>
          <w:color w:val="000000" w:themeColor="text1"/>
          <w:spacing w:val="0"/>
          <w:kern w:val="0"/>
          <w:sz w:val="32"/>
          <w:szCs w:val="32"/>
          <w:highlight w:val="none"/>
          <w:u w:val="none" w:color="auto"/>
          <w:lang w:val="en-US" w:eastAsia="zh-CN" w:bidi="ar-SA"/>
          <w14:textFill>
            <w14:solidFill>
              <w14:schemeClr w14:val="tx1"/>
            </w14:solidFill>
          </w14:textFill>
        </w:rPr>
        <w:t>切实改善生态环境。</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（1）</w:t>
      </w:r>
      <w:r>
        <w:rPr>
          <w:rFonts w:hint="eastAsia" w:ascii="仿宋_GB2312" w:hAnsi="Times New Roman" w:eastAsia="仿宋_GB2312" w:cs="Times New Roman"/>
          <w:color w:val="000000" w:themeColor="text1"/>
          <w:spacing w:val="0"/>
          <w:kern w:val="0"/>
          <w:sz w:val="32"/>
          <w:szCs w:val="32"/>
          <w:highlight w:val="none"/>
          <w:u w:val="none" w:color="auto"/>
          <w:lang w:val="en-US" w:eastAsia="zh-CN" w:bidi="ar-SA"/>
          <w14:textFill>
            <w14:solidFill>
              <w14:schemeClr w14:val="tx1"/>
            </w14:solidFill>
          </w14:textFill>
        </w:rPr>
        <w:t>高质量推进“两山”基地建设，因地制宜探索“两山”转化路径，拓宽海淀特色生态</w:t>
      </w:r>
      <w:r>
        <w:rPr>
          <w:rFonts w:hint="eastAsia" w:ascii="仿宋_GB2312" w:eastAsia="仿宋_GB2312" w:cs="Times New Roman"/>
          <w:color w:val="000000" w:themeColor="text1"/>
          <w:spacing w:val="0"/>
          <w:kern w:val="0"/>
          <w:sz w:val="32"/>
          <w:szCs w:val="32"/>
          <w:highlight w:val="none"/>
          <w:u w:val="none" w:color="auto"/>
          <w:lang w:val="en-US" w:eastAsia="zh-CN" w:bidi="ar-SA"/>
          <w14:textFill>
            <w14:solidFill>
              <w14:schemeClr w14:val="tx1"/>
            </w14:solidFill>
          </w14:textFill>
        </w:rPr>
        <w:t>产品</w:t>
      </w:r>
      <w:r>
        <w:rPr>
          <w:rFonts w:hint="eastAsia" w:ascii="仿宋_GB2312" w:hAnsi="Times New Roman" w:eastAsia="仿宋_GB2312" w:cs="Times New Roman"/>
          <w:color w:val="000000" w:themeColor="text1"/>
          <w:spacing w:val="0"/>
          <w:kern w:val="0"/>
          <w:sz w:val="32"/>
          <w:szCs w:val="32"/>
          <w:highlight w:val="none"/>
          <w:u w:val="none" w:color="auto"/>
          <w:lang w:val="en-US" w:eastAsia="zh-CN" w:bidi="ar-SA"/>
          <w14:textFill>
            <w14:solidFill>
              <w14:schemeClr w14:val="tx1"/>
            </w14:solidFill>
          </w14:textFill>
        </w:rPr>
        <w:t>价值实现渠道。</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b w:val="0"/>
          <w:bCs w:val="0"/>
          <w:i w:val="0"/>
          <w:caps w:val="0"/>
          <w:color w:val="000000" w:themeColor="text1"/>
          <w:spacing w:val="0"/>
          <w:kern w:val="0"/>
          <w:sz w:val="32"/>
          <w:szCs w:val="32"/>
          <w:highlight w:val="none"/>
          <w:u w:val="none" w:color="auto"/>
          <w:shd w:val="clear" w:color="auto" w:fill="FFFFFF"/>
          <w:lang w:val="en-US" w:eastAsia="zh-CN" w:bidi="ar-SA"/>
          <w14:textFill>
            <w14:solidFill>
              <w14:schemeClr w14:val="tx1"/>
            </w14:solidFill>
          </w14:textFill>
        </w:rPr>
        <w:t>持续开展春季扬尘、夏季臭氧、秋冬季污染防治攻坚行动，纵深推进“三水统筹”，加大水环境精细化管控力度，</w:t>
      </w:r>
      <w:r>
        <w:rPr>
          <w:rFonts w:hint="eastAsia" w:ascii="仿宋_GB2312" w:hAnsi="仿宋_GB2312" w:eastAsia="仿宋_GB2312" w:cs="仿宋_GB2312"/>
          <w:b w:val="0"/>
          <w:i w:val="0"/>
          <w:caps w:val="0"/>
          <w:color w:val="000000" w:themeColor="text1"/>
          <w:spacing w:val="0"/>
          <w:kern w:val="0"/>
          <w:sz w:val="32"/>
          <w:szCs w:val="32"/>
          <w:highlight w:val="none"/>
          <w:u w:val="none" w:color="auto"/>
          <w:shd w:val="clear" w:color="auto" w:fill="FFFFFF"/>
          <w:lang w:val="en-US" w:eastAsia="zh-CN" w:bidi="ar-SA"/>
          <w14:textFill>
            <w14:solidFill>
              <w14:schemeClr w14:val="tx1"/>
            </w14:solidFill>
          </w14:textFill>
        </w:rPr>
        <w:t>巩固提升建设用地、农用地安全利用水平。</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加强</w:t>
      </w:r>
      <w:bookmarkStart w:id="2" w:name="OLE_LINK1"/>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一二道绿隔地区</w:t>
      </w:r>
      <w:bookmarkEnd w:id="2"/>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绿化建设、打造大尺度绿色空间，重点推进圆明园公园北侧林地改造、故宫北院周边绿化建设。</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（4）</w:t>
      </w:r>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新增林地、绿地60公顷，新建绿道24公里</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（5）</w:t>
      </w:r>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建成开放西小口二期等3处公园绿地和永丰嘉园东侧等10处小微绿地绿化。（6）推进南沙河、北旱河、清河、小月河等8条河道合流制溢流污染治理。</w:t>
      </w:r>
    </w:p>
    <w:p w14:paraId="56C5F858">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Calibri" w:hAnsi="Calibri" w:eastAsia="仿宋_GB2312" w:cs="Times New Roman"/>
          <w:color w:val="000000" w:themeColor="text1"/>
          <w:spacing w:val="0"/>
          <w:sz w:val="32"/>
          <w:szCs w:val="32"/>
          <w:highlight w:val="none"/>
          <w:u w:val="none" w:color="auto"/>
          <w:lang w:val="en-US" w:eastAsia="zh-CN"/>
          <w14:textFill>
            <w14:solidFill>
              <w14:schemeClr w14:val="tx1"/>
            </w14:solidFill>
          </w14:textFill>
        </w:rPr>
      </w:pPr>
      <w:r>
        <w:rPr>
          <w:rFonts w:hint="eastAsia" w:ascii="Calibri" w:hAnsi="Calibri" w:eastAsia="仿宋_GB2312" w:cs="Times New Roman"/>
          <w:b/>
          <w:bCs/>
          <w:color w:val="000000" w:themeColor="text1"/>
          <w:spacing w:val="0"/>
          <w:sz w:val="32"/>
          <w:szCs w:val="32"/>
          <w:highlight w:val="none"/>
          <w:u w:val="none" w:color="auto"/>
          <w:lang w:val="en-US" w:eastAsia="zh-CN"/>
          <w14:textFill>
            <w14:solidFill>
              <w14:schemeClr w14:val="tx1"/>
            </w14:solidFill>
          </w14:textFill>
        </w:rPr>
        <w:t>打造海淀生态名片。</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（1）</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全力抓好长安街沿线、13号线周边等重点地区环境品质提升，实现区域环境的整体提升。</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（2）</w:t>
      </w:r>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实施京张铁路遗址公园（二期）建设、北三环公共空间改造、四环路环境提升，完成西三环公共空间改造项目研究。</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（3）</w:t>
      </w:r>
      <w:r>
        <w:rPr>
          <w:rFonts w:hint="eastAsia" w:ascii="仿宋_GB2312" w:hAnsi="仿宋_GB2312" w:eastAsia="仿宋_GB2312" w:cs="仿宋_GB2312"/>
          <w:b w:val="0"/>
          <w:color w:val="000000" w:themeColor="text1"/>
          <w:spacing w:val="0"/>
          <w:kern w:val="2"/>
          <w:sz w:val="32"/>
          <w:szCs w:val="32"/>
          <w:highlight w:val="none"/>
          <w:u w:val="none" w:color="auto"/>
          <w:lang w:val="en-US" w:eastAsia="zh-CN" w:bidi="ar-SA"/>
          <w14:textFill>
            <w14:solidFill>
              <w14:schemeClr w14:val="tx1"/>
            </w14:solidFill>
          </w14:textFill>
        </w:rPr>
        <w:t>深入推动花园城市建设，扎实做好花园街区、花园场景示范建设和城市彩化工作，打造上地产业基地片区示范街区，实施苏家坨中心医院、北部医疗中心花园式医院场景建设，探索打造更多公园绿色消费场景。</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（4）建成西玉河雨水湿地公园，</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有序推进</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风格渠、友谊渠、宏丰渠、东埠头沟</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等6条</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滨水慢行景观提升工程，</w:t>
      </w:r>
      <w:r>
        <w:rPr>
          <w:rFonts w:hint="eastAsia" w:ascii="仿宋_GB2312" w:hAnsi="仿宋_GB2312" w:eastAsia="仿宋_GB2312" w:cs="仿宋_GB2312"/>
          <w:color w:val="000000" w:themeColor="text1"/>
          <w:spacing w:val="0"/>
          <w:sz w:val="32"/>
          <w:szCs w:val="32"/>
          <w:highlight w:val="none"/>
          <w:u w:val="none" w:color="auto"/>
          <w:lang w:val="en-US" w:eastAsia="zh-CN"/>
          <w14:textFill>
            <w14:solidFill>
              <w14:schemeClr w14:val="tx1"/>
            </w14:solidFill>
          </w14:textFill>
        </w:rPr>
        <w:t>提升北部城市风貌</w:t>
      </w:r>
      <w:r>
        <w:rPr>
          <w:rFonts w:hint="eastAsia" w:ascii="仿宋_GB2312" w:hAnsi="仿宋_GB2312" w:eastAsia="仿宋_GB2312" w:cs="仿宋_GB2312"/>
          <w:color w:val="000000" w:themeColor="text1"/>
          <w:spacing w:val="0"/>
          <w:sz w:val="32"/>
          <w:szCs w:val="32"/>
          <w:highlight w:val="none"/>
          <w:u w:val="none" w:color="auto"/>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pacing w:val="0"/>
          <w:kern w:val="2"/>
          <w:sz w:val="32"/>
          <w:szCs w:val="32"/>
          <w:highlight w:val="none"/>
          <w:u w:val="none" w:color="auto"/>
          <w:lang w:val="en" w:eastAsia="zh-CN" w:bidi="ar-SA"/>
          <w14:textFill>
            <w14:solidFill>
              <w14:schemeClr w14:val="tx1"/>
            </w14:solidFill>
          </w14:textFill>
        </w:rPr>
        <w:t>完成22个小区、29条道路的海绵化改造和1处浅山区雨水利用工程。</w:t>
      </w:r>
    </w:p>
    <w:p w14:paraId="1F6BDAA7">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（六）积极破解群众难题，厚植民生幸福根基</w:t>
      </w:r>
    </w:p>
    <w:p w14:paraId="29D721D9">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eastAsia" w:ascii="仿宋_GB2312" w:hAnsi="仿宋_GB2312" w:eastAsia="仿宋_GB2312" w:cs="仿宋_GB2312"/>
          <w:b w:val="0"/>
          <w:bCs w:val="0"/>
          <w:color w:val="000000" w:themeColor="text1"/>
          <w:spacing w:val="6"/>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扎实筑牢社会保障。</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（1）突出就业优先导向，</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出台并落实新的区域促进就业政策，鼓励用人单位吸纳就业，提升企业吸纳就业能力。</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积极推动新就业形态有序发展，鼓励依托新就业平台和零工市场等方式实现灵活就业。</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深化政企校合作路径，通过建立实习实训基地、采集就业实习岗位、举办实训等，深入构建青年人才培养机制，扩大“中关村百校联盟”“中关村创客大赛”高校引才品牌影响力。</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稳妥推进延迟退休，养老保险全国统筹等一系列改革任务。持续扩大社会保险覆盖</w:t>
      </w:r>
      <w:r>
        <w:rPr>
          <w:rFonts w:hint="eastAsia" w:ascii="仿宋_GB2312" w:hAnsi="仿宋_GB2312" w:eastAsia="仿宋_GB2312" w:cs="仿宋_GB2312"/>
          <w:vanish w:val="0"/>
          <w:color w:val="000000" w:themeColor="text1"/>
          <w:spacing w:val="0"/>
          <w:w w:val="100"/>
          <w:kern w:val="2"/>
          <w:sz w:val="32"/>
          <w:szCs w:val="32"/>
          <w:highlight w:val="none"/>
          <w:u w:val="none" w:color="auto"/>
          <w:lang w:val="en-US" w:eastAsia="zh-CN" w:bidi="ar-SA"/>
          <w14:textFill>
            <w14:solidFill>
              <w14:schemeClr w14:val="tx1"/>
            </w14:solidFill>
          </w14:textFill>
        </w:rPr>
        <w:t>面，积极推进新业态从业人员、快递网点、实习生等群体参保。</w:t>
      </w:r>
      <w:r>
        <w:rPr>
          <w:rFonts w:hint="eastAsia" w:ascii="仿宋_GB2312" w:hAnsi="仿宋_GB2312" w:eastAsia="仿宋_GB2312" w:cs="仿宋_GB2312"/>
          <w:b w:val="0"/>
          <w:bCs w:val="0"/>
          <w:vanish w:val="0"/>
          <w:color w:val="000000" w:themeColor="text1"/>
          <w:spacing w:val="0"/>
          <w:w w:val="100"/>
          <w:kern w:val="2"/>
          <w:sz w:val="32"/>
          <w:szCs w:val="32"/>
          <w:highlight w:val="none"/>
          <w:u w:val="none" w:color="auto"/>
          <w:lang w:val="en-US" w:eastAsia="zh-CN" w:bidi="ar-SA"/>
          <w14:textFill>
            <w14:solidFill>
              <w14:schemeClr w14:val="tx1"/>
            </w14:solidFill>
          </w14:textFill>
        </w:rPr>
        <w:t>（5）</w:t>
      </w:r>
      <w:r>
        <w:rPr>
          <w:rFonts w:hint="eastAsia" w:ascii="仿宋_GB2312" w:hAnsi="仿宋_GB2312" w:eastAsia="仿宋_GB2312" w:cs="仿宋_GB2312"/>
          <w:b w:val="0"/>
          <w:bCs w:val="0"/>
          <w:color w:val="000000" w:themeColor="text1"/>
          <w:spacing w:val="0"/>
          <w:kern w:val="2"/>
          <w:sz w:val="32"/>
          <w:szCs w:val="32"/>
          <w:highlight w:val="none"/>
          <w:u w:val="none" w:color="auto"/>
          <w:vertAlign w:val="baseline"/>
          <w:lang w:val="en-US" w:eastAsia="zh-CN" w:bidi="ar-SA"/>
          <w14:textFill>
            <w14:solidFill>
              <w14:schemeClr w14:val="tx1"/>
            </w14:solidFill>
          </w14:textFill>
        </w:rPr>
        <w:t>加强</w:t>
      </w:r>
      <w:r>
        <w:rPr>
          <w:rFonts w:hint="eastAsia" w:ascii="仿宋_GB2312" w:hAnsi="仿宋_GB2312" w:eastAsia="仿宋_GB2312" w:cs="仿宋_GB2312"/>
          <w:b w:val="0"/>
          <w:bC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低收入人口</w:t>
      </w:r>
      <w:r>
        <w:rPr>
          <w:rFonts w:hint="eastAsia" w:ascii="仿宋_GB2312" w:hAnsi="仿宋_GB2312" w:eastAsia="仿宋_GB2312" w:cs="仿宋_GB2312"/>
          <w:b w:val="0"/>
          <w:bCs w:val="0"/>
          <w:color w:val="000000" w:themeColor="text1"/>
          <w:spacing w:val="0"/>
          <w:kern w:val="2"/>
          <w:sz w:val="32"/>
          <w:szCs w:val="32"/>
          <w:highlight w:val="none"/>
          <w:u w:val="none" w:color="auto"/>
          <w:vertAlign w:val="baseline"/>
          <w:lang w:val="en-US" w:eastAsia="zh-CN" w:bidi="ar-SA"/>
          <w14:textFill>
            <w14:solidFill>
              <w14:schemeClr w14:val="tx1"/>
            </w14:solidFill>
          </w14:textFill>
        </w:rPr>
        <w:t>动态监测，</w:t>
      </w:r>
      <w:r>
        <w:rPr>
          <w:rFonts w:hint="eastAsia" w:ascii="仿宋_GB2312" w:hAnsi="仿宋_GB2312" w:eastAsia="仿宋_GB2312" w:cs="仿宋_GB2312"/>
          <w:b w:val="0"/>
          <w:bC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在刚性支出困难家庭认定等方面加强探索实践，扎实推进全国服务类社会救助试点工作。</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（6）</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继续做好公租房配租工作，进一步提升公租房备案家庭总体保障率。</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（7）做好已启动点位后续工作，已进入搬迁腾退实施阶段的点位，小片平房区专班发挥协调指导作用，积极沟通剩余户，提前筹备帮腾助拆工作。</w:t>
      </w:r>
      <w:r>
        <w:rPr>
          <w:rFonts w:hint="eastAsia" w:ascii="仿宋_GB2312" w:hAnsi="仿宋_GB2312" w:eastAsia="仿宋_GB2312" w:cs="仿宋_GB2312"/>
          <w:b w:val="0"/>
          <w:bCs w:val="0"/>
          <w:color w:val="000000" w:themeColor="text1"/>
          <w:spacing w:val="6"/>
          <w:kern w:val="2"/>
          <w:sz w:val="32"/>
          <w:szCs w:val="32"/>
          <w:highlight w:val="none"/>
          <w:u w:val="none" w:color="auto"/>
          <w:lang w:val="en-US" w:eastAsia="zh-CN" w:bidi="ar-SA"/>
          <w14:textFill>
            <w14:solidFill>
              <w14:schemeClr w14:val="tx1"/>
            </w14:solidFill>
          </w14:textFill>
        </w:rPr>
        <w:t>谋划下一批改造项目，推动城建、金隅自有用地项目成熟稳定。（8）持续推进城市社区嵌入式服务设施建设，提高居民享有优质、普惠公共服务的便利性。</w:t>
      </w:r>
    </w:p>
    <w:p w14:paraId="4B765348">
      <w:pPr>
        <w:keepNext w:val="0"/>
        <w:keepLines w:val="0"/>
        <w:pageBreakBefore w:val="0"/>
        <w:widowControl w:val="0"/>
        <w:kinsoku/>
        <w:wordWrap/>
        <w:overflowPunct w:val="0"/>
        <w:topLinePunct w:val="0"/>
        <w:autoSpaceDE/>
        <w:autoSpaceDN/>
        <w:bidi w:val="0"/>
        <w:adjustRightInd/>
        <w:snapToGrid/>
        <w:spacing w:line="560" w:lineRule="exact"/>
        <w:ind w:left="0" w:leftChars="0" w:right="0" w:rightChars="0" w:firstLine="643" w:firstLineChars="200"/>
        <w:jc w:val="both"/>
        <w:textAlignment w:val="auto"/>
        <w:rPr>
          <w:rFonts w:hint="eastAsia" w:ascii="仿宋_GB2312" w:hAnsi="仿宋" w:eastAsia="仿宋_GB2312" w:cs="宋体"/>
          <w:b w:val="0"/>
          <w:bCs w:val="0"/>
          <w:color w:val="000000" w:themeColor="text1"/>
          <w:spacing w:val="0"/>
          <w:kern w:val="0"/>
          <w:sz w:val="32"/>
          <w:szCs w:val="32"/>
          <w:highlight w:val="none"/>
          <w:u w:val="none" w:color="auto"/>
          <w:lang w:val="en-US" w:eastAsia="zh-CN" w:bidi="ar-SA"/>
          <w14:textFill>
            <w14:solidFill>
              <w14:schemeClr w14:val="tx1"/>
            </w14:solidFill>
          </w14:textFill>
        </w:rPr>
      </w:pPr>
      <w:r>
        <w:rPr>
          <w:rFonts w:hint="eastAsia" w:ascii="宋体" w:hAnsi="Courier New" w:eastAsia="仿宋_GB2312" w:cs="Courier New"/>
          <w:b/>
          <w:bCs/>
          <w:color w:val="000000" w:themeColor="text1"/>
          <w:spacing w:val="0"/>
          <w:kern w:val="2"/>
          <w:sz w:val="32"/>
          <w:szCs w:val="32"/>
          <w:highlight w:val="none"/>
          <w:u w:val="none" w:color="auto"/>
          <w:lang w:val="en-US" w:eastAsia="zh-CN" w:bidi="ar-SA"/>
          <w14:textFill>
            <w14:solidFill>
              <w14:schemeClr w14:val="tx1"/>
            </w14:solidFill>
          </w14:textFill>
        </w:rPr>
        <w:t>全方位提升教育品质。</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 w:eastAsia="仿宋_GB2312" w:cs="宋体"/>
          <w:bCs/>
          <w:color w:val="000000" w:themeColor="text1"/>
          <w:spacing w:val="0"/>
          <w:kern w:val="0"/>
          <w:sz w:val="32"/>
          <w:szCs w:val="32"/>
          <w:highlight w:val="none"/>
          <w:u w:val="none" w:color="auto"/>
          <w:lang w:val="en-US" w:eastAsia="zh-CN" w:bidi="ar-SA"/>
          <w14:textFill>
            <w14:solidFill>
              <w14:schemeClr w14:val="tx1"/>
            </w14:solidFill>
          </w14:textFill>
        </w:rPr>
        <w:t>加快中小学学位建设，确保秋季学期开学前完成增加中小学学位7900个的目标。</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华文中宋" w:eastAsia="仿宋_GB2312" w:cs="Courier New"/>
          <w:b w:val="0"/>
          <w:bCs w:val="0"/>
          <w:color w:val="000000" w:themeColor="text1"/>
          <w:spacing w:val="0"/>
          <w:kern w:val="2"/>
          <w:sz w:val="32"/>
          <w:szCs w:val="32"/>
          <w:highlight w:val="none"/>
          <w:u w:val="none" w:color="auto"/>
          <w:lang w:val="en-US" w:eastAsia="zh-CN" w:bidi="ar-SA"/>
          <w14:textFill>
            <w14:solidFill>
              <w14:schemeClr w14:val="tx1"/>
            </w14:solidFill>
          </w14:textFill>
        </w:rPr>
        <w:t>夯实区域数字化转型发展基座，全面推进“人工智能+教育”公共服务体系建设</w:t>
      </w:r>
      <w:r>
        <w:rPr>
          <w:rFonts w:ascii="仿宋_GB2312" w:hAnsi="华文中宋" w:eastAsia="仿宋_GB2312" w:cs="Courier New"/>
          <w:b w:val="0"/>
          <w:bCs w:val="0"/>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华文中宋" w:eastAsia="仿宋_GB2312" w:cs="Courier New"/>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 w:eastAsia="仿宋_GB2312" w:cs="宋体"/>
          <w:bCs/>
          <w:color w:val="000000" w:themeColor="text1"/>
          <w:spacing w:val="0"/>
          <w:kern w:val="0"/>
          <w:sz w:val="32"/>
          <w:szCs w:val="32"/>
          <w:highlight w:val="none"/>
          <w:lang w:val="en-US" w:eastAsia="zh-CN" w:bidi="ar-SA"/>
          <w14:textFill>
            <w14:solidFill>
              <w14:schemeClr w14:val="tx1"/>
            </w14:solidFill>
          </w14:textFill>
        </w:rPr>
        <w:t>推进体育锻炼方案全面有效落实，继续加强以跑步为主要内容的学校体育锻炼和体育运动，增加全员性班级赛活动；加强对青少年心理健康教育问题的重视。（4）</w:t>
      </w:r>
      <w:r>
        <w:rPr>
          <w:rFonts w:hint="eastAsia" w:ascii="仿宋_GB2312" w:hAnsi="华文中宋" w:eastAsia="仿宋_GB2312" w:cs="Courier New"/>
          <w:bCs/>
          <w:color w:val="000000" w:themeColor="text1"/>
          <w:spacing w:val="0"/>
          <w:kern w:val="2"/>
          <w:sz w:val="32"/>
          <w:szCs w:val="32"/>
          <w:highlight w:val="none"/>
          <w:lang w:val="en-US" w:eastAsia="zh-CN" w:bidi="ar-SA"/>
          <w14:textFill>
            <w14:solidFill>
              <w14:schemeClr w14:val="tx1"/>
            </w14:solidFill>
          </w14:textFill>
        </w:rPr>
        <w:t>大力推进高层次人才培养、教师梯队建设工作；继续开展“开放型”在线研修和全员全覆盖分层分类的教师培训工作。（5）</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推进全民国防教育，在学校开展寓教于乐的国防教育活动。</w:t>
      </w:r>
    </w:p>
    <w:p w14:paraId="211B476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用心服务“一老一小”。</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（1）建立普惠共享、全龄友好的“海淀食堂”服务模式</w:t>
      </w:r>
      <w:r>
        <w:rPr>
          <w:rFonts w:hint="eastAsia" w:ascii="仿宋_GB2312" w:hAnsi="仿宋_GB2312" w:eastAsia="仿宋_GB2312" w:cs="仿宋_GB2312"/>
          <w:b w:val="0"/>
          <w:bCs w:val="0"/>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b w:val="0"/>
          <w:bCs w:val="0"/>
          <w:color w:val="000000" w:themeColor="text1"/>
          <w:spacing w:val="0"/>
          <w:kern w:val="0"/>
          <w:sz w:val="32"/>
          <w:szCs w:val="32"/>
          <w:highlight w:val="none"/>
          <w:u w:val="none" w:color="auto"/>
          <w:lang w:val="en-US" w:eastAsia="zh-CN" w:bidi="ar-SA"/>
          <w14:textFill>
            <w14:solidFill>
              <w14:schemeClr w14:val="tx1"/>
            </w14:solidFill>
          </w14:textFill>
        </w:rPr>
        <w:t>通过完善智慧养老平台提供个性化养老服务场景</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，积极探索科技手段在机构养老、居家安全等场景的应用</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。（3）科技赋能儿童友好城市建设，提升儿童友好城市个性化水平，布局智慧科技型儿童友好示范场景建设。</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highlight w:val="none"/>
          <w:u w:val="none" w:color="auto"/>
          <w:shd w:val="clear" w:color="auto" w:fill="FFFFFF"/>
          <w:lang w:val="en-US" w:eastAsia="zh-CN" w:bidi="ar-SA"/>
          <w14:textFill>
            <w14:solidFill>
              <w14:schemeClr w14:val="tx1"/>
            </w14:solidFill>
          </w14:textFill>
        </w:rPr>
        <w:t>加强托育服务体系建设，推进普惠托育服务工作进一步落实，有效降低生育养育成本</w:t>
      </w:r>
      <w:r>
        <w:rPr>
          <w:rFonts w:hint="eastAsia" w:ascii="仿宋_GB2312" w:hAnsi="仿宋_GB2312" w:eastAsia="仿宋_GB2312" w:cs="仿宋_GB2312"/>
          <w:bCs/>
          <w:color w:val="000000" w:themeColor="text1"/>
          <w:spacing w:val="0"/>
          <w:kern w:val="0"/>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（5）力促上庄镇十二年一贯制学校、西北旺镇永丰K地块养老设施、温泉镇D22地块社区会客厅等项目开工建设。</w:t>
      </w:r>
    </w:p>
    <w:p w14:paraId="2CC8DCD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全力打造健康海淀。</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bCs/>
          <w:color w:val="000000" w:themeColor="text1"/>
          <w:spacing w:val="0"/>
          <w:kern w:val="0"/>
          <w:sz w:val="32"/>
          <w:szCs w:val="32"/>
          <w:highlight w:val="none"/>
          <w:u w:val="none" w:color="auto"/>
          <w:lang w:val="en-US" w:eastAsia="zh-CN" w:bidi="ar-SA"/>
          <w14:textFill>
            <w14:solidFill>
              <w14:schemeClr w14:val="tx1"/>
            </w14:solidFill>
          </w14:textFill>
        </w:rPr>
        <w:t>进一步深化医药卫生体制改革，促进“三医”协同发展和治理，全面推动国家公立医院改革与高质量发展示范项目实施，深化以公益性为导向的公立医院综合改革，完善整合型医疗服务体系。</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优化医保经办服务，强化医保基金监管，推进定点医疗机构信息化建设，实现药品追溯码信息上传，扩大医保移动支付应用。（3）持续巩固国家食品安全示范城市创建成果。深入开展校园食品安全专项整治、加强养老助餐单位食品安全监管。（4）</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新建室外专项活动场地共计43处，新建及更新全民健身器材2661件，进一步提升“15分钟健身圈”服务水平。</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积极打造海淀区群众体育品牌活动，重点做好2025年海淀马拉松、3V3篮球制霸赛、一区一品系列活动的筹划、组织工作。</w:t>
      </w:r>
    </w:p>
    <w:p w14:paraId="353CC962">
      <w:pPr>
        <w:pStyle w:val="5"/>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outlineLvl w:val="1"/>
        <w:rPr>
          <w:rFonts w:hint="eastAsia"/>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pacing w:val="0"/>
          <w:sz w:val="32"/>
          <w:szCs w:val="32"/>
          <w:highlight w:val="none"/>
          <w:u w:val="none" w:color="auto"/>
          <w:lang w:val="en-US" w:eastAsia="zh-CN"/>
          <w14:textFill>
            <w14:solidFill>
              <w14:schemeClr w14:val="tx1"/>
            </w14:solidFill>
          </w14:textFill>
        </w:rPr>
        <w:t>（七）筑牢城市治理根基，保障社会安全发展</w:t>
      </w:r>
    </w:p>
    <w:p w14:paraId="1A6E51C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vanish w:val="0"/>
          <w:color w:val="000000" w:themeColor="text1"/>
          <w:spacing w:val="0"/>
          <w:w w:val="10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vanish w:val="0"/>
          <w:color w:val="000000" w:themeColor="text1"/>
          <w:spacing w:val="0"/>
          <w:w w:val="100"/>
          <w:kern w:val="2"/>
          <w:sz w:val="32"/>
          <w:szCs w:val="32"/>
          <w:highlight w:val="none"/>
          <w:u w:val="none" w:color="auto"/>
          <w:lang w:val="en-US" w:eastAsia="zh-CN" w:bidi="ar-SA"/>
          <w14:textFill>
            <w14:solidFill>
              <w14:schemeClr w14:val="tx1"/>
            </w14:solidFill>
          </w14:textFill>
        </w:rPr>
        <w:t>深化城市治理行动。</w:t>
      </w:r>
      <w:r>
        <w:rPr>
          <w:rFonts w:hint="eastAsia" w:ascii="仿宋_GB2312" w:hAnsi="仿宋_GB2312" w:eastAsia="仿宋_GB2312" w:cs="仿宋_GB2312"/>
          <w:b w:val="0"/>
          <w:bCs w:val="0"/>
          <w:vanish w:val="0"/>
          <w:color w:val="000000" w:themeColor="text1"/>
          <w:spacing w:val="0"/>
          <w:w w:val="10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b w:val="0"/>
          <w:bCs w:val="0"/>
          <w:vanish w:val="0"/>
          <w:color w:val="000000" w:themeColor="text1"/>
          <w:spacing w:val="0"/>
          <w:w w:val="100"/>
          <w:kern w:val="2"/>
          <w:sz w:val="32"/>
          <w:szCs w:val="32"/>
          <w:u w:val="none"/>
          <w:lang w:val="en-US" w:eastAsia="zh-CN" w:bidi="ar-SA"/>
          <w14:textFill>
            <w14:solidFill>
              <w14:schemeClr w14:val="tx1"/>
            </w14:solidFill>
          </w14:textFill>
        </w:rPr>
        <w:t>1</w:t>
      </w:r>
      <w:r>
        <w:rPr>
          <w:rFonts w:hint="eastAsia" w:ascii="仿宋_GB2312" w:hAnsi="仿宋_GB2312" w:eastAsia="仿宋_GB2312" w:cs="仿宋_GB2312"/>
          <w:b w:val="0"/>
          <w:bCs w:val="0"/>
          <w:vanish w:val="0"/>
          <w:color w:val="000000" w:themeColor="text1"/>
          <w:spacing w:val="0"/>
          <w:w w:val="100"/>
          <w:kern w:val="2"/>
          <w:sz w:val="32"/>
          <w:szCs w:val="32"/>
          <w:highlight w:val="none"/>
          <w:u w:val="none" w:color="auto"/>
          <w:lang w:val="en-US" w:eastAsia="zh-CN" w:bidi="ar-SA"/>
          <w14:textFill>
            <w14:solidFill>
              <w14:schemeClr w14:val="tx1"/>
            </w14:solidFill>
          </w14:textFill>
        </w:rPr>
        <w:t>）健全智慧高效城市治理体系，推动科技赋能城市治理，深化“一网统管”“一网慧治”</w:t>
      </w:r>
      <w:r>
        <w:rPr>
          <w:rFonts w:hint="eastAsia" w:ascii="仿宋_GB2312" w:hAnsi="仿宋_GB2312" w:eastAsia="仿宋_GB2312" w:cs="仿宋_GB2312"/>
          <w:b w:val="0"/>
          <w:bCs w:val="0"/>
          <w:vanish w:val="0"/>
          <w:color w:val="000000" w:themeColor="text1"/>
          <w:spacing w:val="0"/>
          <w:w w:val="100"/>
          <w:kern w:val="2"/>
          <w:sz w:val="32"/>
          <w:szCs w:val="32"/>
          <w:u w:val="none"/>
          <w:lang w:val="en-US" w:eastAsia="zh-CN" w:bidi="ar-SA"/>
          <w14:textFill>
            <w14:solidFill>
              <w14:schemeClr w14:val="tx1"/>
            </w14:solidFill>
          </w14:textFill>
        </w:rPr>
        <w:t>。</w:t>
      </w:r>
      <w:r>
        <w:rPr>
          <w:rFonts w:hint="eastAsia" w:ascii="仿宋_GB2312" w:hAnsi="仿宋_GB2312" w:eastAsia="仿宋_GB2312" w:cs="仿宋_GB2312"/>
          <w:b w:val="0"/>
          <w:bCs w:val="0"/>
          <w:vanish w:val="0"/>
          <w:color w:val="000000" w:themeColor="text1"/>
          <w:spacing w:val="0"/>
          <w:w w:val="10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b w:val="0"/>
          <w:bCs w:val="0"/>
          <w:vanish w:val="0"/>
          <w:color w:val="000000" w:themeColor="text1"/>
          <w:spacing w:val="0"/>
          <w:w w:val="100"/>
          <w:kern w:val="2"/>
          <w:sz w:val="32"/>
          <w:szCs w:val="32"/>
          <w:highlight w:val="none"/>
          <w:u w:val="none"/>
          <w:lang w:val="en-US" w:eastAsia="zh-CN" w:bidi="ar-SA"/>
          <w14:textFill>
            <w14:solidFill>
              <w14:schemeClr w14:val="tx1"/>
            </w14:solidFill>
          </w14:textFill>
        </w:rPr>
        <w:t>高标准推进疏解整治促提升，</w:t>
      </w:r>
      <w:r>
        <w:rPr>
          <w:rFonts w:hint="eastAsia" w:ascii="仿宋_GB2312" w:hAnsi="仿宋_GB2312" w:eastAsia="仿宋_GB2312" w:cs="仿宋_GB2312"/>
          <w:b w:val="0"/>
          <w:bCs w:val="0"/>
          <w:vanish w:val="0"/>
          <w:color w:val="000000" w:themeColor="text1"/>
          <w:spacing w:val="0"/>
          <w:w w:val="100"/>
          <w:kern w:val="2"/>
          <w:sz w:val="32"/>
          <w:szCs w:val="32"/>
          <w:u w:val="none"/>
          <w:lang w:val="en-US" w:eastAsia="zh-CN" w:bidi="ar-SA"/>
          <w14:textFill>
            <w14:solidFill>
              <w14:schemeClr w14:val="tx1"/>
            </w14:solidFill>
          </w14:textFill>
        </w:rPr>
        <w:t>对整治类任务按照常态管护、集中整治、攻坚突破三类进一步细化分级，持续提升城市精细化管理水平。</w:t>
      </w:r>
      <w:r>
        <w:rPr>
          <w:rFonts w:hint="eastAsia" w:ascii="仿宋_GB2312" w:hAnsi="仿宋_GB2312" w:eastAsia="仿宋_GB2312" w:cs="仿宋_GB2312"/>
          <w:vanish w:val="0"/>
          <w:color w:val="000000" w:themeColor="text1"/>
          <w:spacing w:val="0"/>
          <w:w w:val="10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b w:val="0"/>
          <w:bCs w:val="0"/>
          <w:vanish w:val="0"/>
          <w:color w:val="000000" w:themeColor="text1"/>
          <w:spacing w:val="0"/>
          <w:w w:val="100"/>
          <w:kern w:val="2"/>
          <w:sz w:val="32"/>
          <w:szCs w:val="32"/>
          <w:u w:val="none"/>
          <w:lang w:val="en-US" w:eastAsia="zh-CN" w:bidi="ar-SA"/>
          <w14:textFill>
            <w14:solidFill>
              <w14:schemeClr w14:val="tx1"/>
            </w14:solidFill>
          </w14:textFill>
        </w:rPr>
        <w:t>巩固“基本无违法建设区”创建成果，实现违法建设“动态清零”。（4）着力打破空间阻隔，持续开展护栏、围挡撤除提升，对确有必要的围挡按照指引规范进行设置。（5）深入开展“开墙透绿”专项治理，全面推进基础教育学校围墙统一替换为挡水墙+透亮栏杆专项行动。（6）持续开展“去篱”行动，在林地、绿地开展黄杨替代；稳步推进隔声屏拆除改造、架空线入地。</w:t>
      </w:r>
    </w:p>
    <w:p w14:paraId="759F3C70">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完善交通体系建设。</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提速市政道路建设，坚持疏堵点、补短板、畅通道，力争新增道路通车里程30公里。</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完成30万平方米道路大中修、复划50万平方米区属道路标线。（3）梳理全区无灯路台账，依重点地区优先级逐年解决无灯路问题。（4）继续推进“错时共享”，计划全年增加2500个错时共享停车位；挖潜新增停车位不少于8000个。（5）持续开展慢行系统提升工作、规范共享单车管理，推进中关村西区环隧移交工作。</w:t>
      </w:r>
    </w:p>
    <w:p w14:paraId="6E919DE1">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lang w:val="en-US" w:eastAsia="zh-CN" w:bidi="ar-SA"/>
          <w14:textFill>
            <w14:solidFill>
              <w14:schemeClr w14:val="tx1"/>
            </w14:solidFill>
          </w14:textFill>
        </w:rPr>
        <w:t>提高社会治理效能。</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（1）深化运用“大家商量着办”基层议事协商机制，充分发挥“大家商量着办”“每月一题”机制作用，加强民众诉求解决协调能力。</w:t>
      </w:r>
      <w:r>
        <w:rPr>
          <w:rFonts w:hint="eastAsia" w:ascii="仿宋_GB2312" w:hAnsi="仿宋_GB2312" w:eastAsia="仿宋_GB2312" w:cs="仿宋_GB2312"/>
          <w:b w:val="0"/>
          <w:bCs/>
          <w:color w:val="000000" w:themeColor="text1"/>
          <w:spacing w:val="0"/>
          <w:kern w:val="2"/>
          <w:sz w:val="32"/>
          <w:szCs w:val="32"/>
          <w:highlight w:val="none"/>
          <w:u w:val="none" w:color="auto"/>
          <w:lang w:val="en-US" w:eastAsia="zh-CN" w:bidi="ar-SA"/>
          <w14:textFill>
            <w14:solidFill>
              <w14:schemeClr w14:val="tx1"/>
            </w14:solidFill>
          </w14:textFill>
        </w:rPr>
        <w:t>（2）深入开展信访问题源头预防，完善信访矛盾纠纷大排查、专项排查和动态排查和风险隐患处置工作机制，加大重点时期的信访关注人员、三跨三分离人员稳控工作力度。（3）</w:t>
      </w:r>
      <w:r>
        <w:rPr>
          <w:rFonts w:hint="eastAsia" w:ascii="仿宋_GB2312" w:hAnsi="仿宋_GB2312" w:eastAsia="仿宋_GB2312" w:cs="仿宋_GB2312"/>
          <w:color w:val="000000" w:themeColor="text1"/>
          <w:spacing w:val="0"/>
          <w:kern w:val="2"/>
          <w:sz w:val="32"/>
          <w:szCs w:val="32"/>
          <w:highlight w:val="none"/>
          <w:lang w:val="en-US" w:eastAsia="zh-CN" w:bidi="ar-SA"/>
          <w14:textFill>
            <w14:solidFill>
              <w14:schemeClr w14:val="tx1"/>
            </w14:solidFill>
          </w14:textFill>
        </w:rPr>
        <w:t>巩固健全物业管理“区-街镇-社区”三级工作体系，加快建设物业智慧监管体系，推动实现物业履约有迹可查，持续规范物业服务。（4）加强社会工作者队伍建设，健全完善社区工作者“选育管用”职业发展体系。</w:t>
      </w:r>
    </w:p>
    <w:p w14:paraId="5F46D0A2">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outlineLvl w:val="9"/>
        <w:rPr>
          <w:rFonts w:hint="eastAsia" w:ascii="仿宋_GB2312" w:hAnsi="仿宋_GB2312" w:eastAsia="仿宋_GB2312" w:cs="仿宋_GB2312"/>
          <w:color w:val="000000" w:themeColor="text1"/>
          <w:spacing w:val="11"/>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筑牢安全发展防线。</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加强基层应急管理体系和能力建设，增强城市韧性，提高防灾减灾能力，保障城市安全运行。</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提升金融风险预警防范水平</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运行海淀区经济金融风险预警平台，提升金融风险预警防范水平</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建立金融风险线索台账，对重点行业、重点区域及时提示潜在风险。</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做好房地产市场风险防范，加大对预售资金监管力度，完善政府指导、银行监管、多方监督、专款专用的商品房预售资金的收存支取制度，充分保障预售资金优先用于工程建设。</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（4）坚持平战结合，加强智慧化多点触发传染病监测预警体系和应急指挥体系建设，提高公共卫生风险防范水平。（5）</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推进企业安全生产标</w:t>
      </w:r>
      <w:r>
        <w:rPr>
          <w:rFonts w:hint="eastAsia" w:ascii="仿宋_GB2312" w:hAnsi="仿宋_GB2312" w:eastAsia="仿宋_GB2312" w:cs="仿宋_GB2312"/>
          <w:color w:val="000000" w:themeColor="text1"/>
          <w:spacing w:val="11"/>
          <w:kern w:val="2"/>
          <w:sz w:val="32"/>
          <w:szCs w:val="32"/>
          <w:highlight w:val="none"/>
          <w:u w:val="none" w:color="auto"/>
          <w:lang w:val="en-US" w:eastAsia="zh-CN" w:bidi="ar-SA"/>
          <w14:textFill>
            <w14:solidFill>
              <w14:schemeClr w14:val="tx1"/>
            </w14:solidFill>
          </w14:textFill>
        </w:rPr>
        <w:t>准化建设，组织开展重大隐患专项整治和重大危险源督导检查。</w:t>
      </w:r>
    </w:p>
    <w:p w14:paraId="60F79684">
      <w:pPr>
        <w:keepNext w:val="0"/>
        <w:keepLines w:val="0"/>
        <w:pageBreakBefore w:val="0"/>
        <w:widowControl w:val="0"/>
        <w:kinsoku/>
        <w:wordWrap/>
        <w:overflowPunct w:val="0"/>
        <w:topLinePunct w:val="0"/>
        <w:autoSpaceDE/>
        <w:autoSpaceDN/>
        <w:bidi w:val="0"/>
        <w:adjustRightInd/>
        <w:snapToGrid/>
        <w:spacing w:line="540" w:lineRule="exact"/>
        <w:ind w:firstLine="640" w:firstLineChars="200"/>
        <w:jc w:val="both"/>
        <w:textAlignment w:val="auto"/>
        <w:outlineLvl w:val="1"/>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spacing w:val="0"/>
          <w:kern w:val="2"/>
          <w:sz w:val="32"/>
          <w:szCs w:val="32"/>
          <w:highlight w:val="none"/>
          <w:u w:val="none" w:color="auto"/>
          <w:lang w:val="en-US" w:eastAsia="zh-CN" w:bidi="ar-SA"/>
          <w14:textFill>
            <w14:solidFill>
              <w14:schemeClr w14:val="tx1"/>
            </w14:solidFill>
          </w14:textFill>
        </w:rPr>
        <w:t>（八）深化重点领域改革，激活发展长效动能</w:t>
      </w:r>
    </w:p>
    <w:p w14:paraId="56FBBF06">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塑造“海淀服务”品牌。</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kern w:val="0"/>
          <w:sz w:val="32"/>
          <w:szCs w:val="32"/>
          <w:highlight w:val="none"/>
          <w:u w:val="none" w:color="auto"/>
          <w:lang w:val="en-US" w:eastAsia="zh-CN" w:bidi="ar-SA"/>
          <w14:textFill>
            <w14:solidFill>
              <w14:schemeClr w14:val="tx1"/>
            </w14:solidFill>
          </w14:textFill>
        </w:rPr>
        <w:t>持续深化“高效办成一件事”改革，在更多场景形成更多案例，健全完善常态化落地工作机制。</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（2）推进各监管部门、各街镇落实“无事不扰”监管措施，持续扩大试点企业范围。（3）加快推进海淀区一体化综合监管平台建设工作，增加更多非现场监管应用领域。（4）</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学习国际化组织先进经验，谋划和试点建设中小企业和创新创业者公益服务中心；统筹国际化平台服务资源，拓展海外交流和招商服务点，畅通企业出海渠道。</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（5）落实好修订后的《北京市优化营商环境条例》，</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瞄准“产业、创新”需求，探索建设全社会共同参与的“特色营商环境”。围绕细分产业，研究制定优化人工智能产业营商环境行动计划等针对性营商政策。（6）召开高质量发展大会，传递海淀建设“最具投资价值城市”的理念。（7）加强企业监测分析，精准高效服务企业，打造海淀区“服务包”品牌。</w:t>
      </w:r>
    </w:p>
    <w:p w14:paraId="0A66D0DA">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kern w:val="2"/>
          <w:sz w:val="32"/>
          <w:szCs w:val="32"/>
          <w:highlight w:val="none"/>
          <w:u w:val="none" w:color="auto"/>
          <w:lang w:val="en-US" w:eastAsia="zh-CN" w:bidi="ar-SA"/>
          <w14:textFill>
            <w14:solidFill>
              <w14:schemeClr w14:val="tx1"/>
            </w14:solidFill>
          </w14:textFill>
        </w:rPr>
        <w:t>高质量建设“两区”。</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1）深化“两区”综合改革，主动对接国际高标准经贸规则，加快改革创新任务落地。（2）有序推进中关村综保区二期、三期工程建设，出台综保区管理办法；以企业需求为导向，研究探索区内外联动等制度创新。（3）强化案例复制推广机制，梳理、提炼海淀区“两区”改革经验及成果，加强与全国自贸试验区的合作交流。（4）加强与“走出去”热点地区的合作与交流，发挥好香港、新加坡的“桥头堡”作用，</w:t>
      </w:r>
      <w:r>
        <w:rPr>
          <w:rFonts w:hint="eastAsia" w:ascii="仿宋_GB2312" w:hAnsi="仿宋_GB2312" w:eastAsia="仿宋_GB2312" w:cs="仿宋_GB2312"/>
          <w:color w:val="000000" w:themeColor="text1"/>
          <w:spacing w:val="0"/>
          <w:kern w:val="2"/>
          <w:sz w:val="32"/>
          <w:szCs w:val="32"/>
          <w:highlight w:val="none"/>
          <w:u w:val="none" w:color="auto"/>
          <w:lang w:val="en-US" w:eastAsia="zh-CN" w:bidi="ar-SA"/>
          <w14:textFill>
            <w14:solidFill>
              <w14:schemeClr w14:val="tx1"/>
            </w14:solidFill>
          </w14:textFill>
        </w:rPr>
        <w:t>实施“香港创新加速计划”等措施，支持企业出海。（5）用好中关村论坛等平台，举办“环球商机”“外交官走进科学城”等品牌交流活动。（6）深入落实稳外资稳外贸工作机制和外资企业圆桌会议制度，深化企业对接服务，加强政策宣讲培训。</w:t>
      </w:r>
      <w:r>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t>（7）搭建招商引资平台，多渠道加大招引力度，积极参与和有效利用“投资中国”、中国发展高层论坛、服贸会、进博会等平台，搭建与境外国家和地区代表团、国际组织、在京商协会、跨国公司等沟通和合作的桥梁。</w:t>
      </w:r>
    </w:p>
    <w:p w14:paraId="76E8CE7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pacing w:val="0"/>
          <w:kern w:val="2"/>
          <w:sz w:val="32"/>
          <w:szCs w:val="32"/>
          <w:highlight w:val="none"/>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pacing w:val="0"/>
          <w:sz w:val="32"/>
          <w:szCs w:val="32"/>
          <w:highlight w:val="none"/>
          <w:u w:val="none" w:color="auto"/>
          <w:lang w:val="en-US" w:eastAsia="zh-CN"/>
          <w14:textFill>
            <w14:solidFill>
              <w14:schemeClr w14:val="tx1"/>
            </w14:solidFill>
          </w14:textFill>
        </w:rPr>
        <w:t>探索深化制度改革。</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（1）根据进一步全面深化改革工作方案部署，分领域按时限推进133项改革任务落地。（2）扎实推进重点领域“1+6”改革落地生根，稳步落实</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海淀区关于发展新质生产力、加快建设世界领先科技园区实施方案（2024—2027年）</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重大任务项目</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和</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主要目标。</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（3）深化国资国企改革，完善管理监督体制机制，加强</w:t>
      </w:r>
      <w:r>
        <w:rPr>
          <w:rFonts w:hint="eastAsia" w:ascii="仿宋_GB2312" w:hAnsi="仿宋_GB2312" w:eastAsia="仿宋_GB2312" w:cs="仿宋_GB2312"/>
          <w:b w:val="0"/>
          <w:bCs w:val="0"/>
          <w:color w:val="000000" w:themeColor="text1"/>
          <w:spacing w:val="0"/>
          <w:sz w:val="32"/>
          <w:szCs w:val="32"/>
          <w:highlight w:val="none"/>
          <w:u w:val="none" w:color="auto"/>
          <w14:textFill>
            <w14:solidFill>
              <w14:schemeClr w14:val="tx1"/>
            </w14:solidFill>
          </w14:textFill>
        </w:rPr>
        <w:t>区属国企聚焦主责主业提升支撑科技创新和区域高质量发展能力。</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pacing w:val="0"/>
          <w:sz w:val="32"/>
          <w:szCs w:val="32"/>
          <w:highlight w:val="none"/>
          <w:u w:val="none" w:color="auto"/>
          <w14:textFill>
            <w14:solidFill>
              <w14:schemeClr w14:val="tx1"/>
            </w14:solidFill>
          </w14:textFill>
        </w:rPr>
        <w:t>围绕科技创新和新质生产力优化国资布局，推动国有资本资源向主业企业、优势企业和海淀区域集中，打造主业更突出、核心竞争力更强的发展格局。</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pacing w:val="0"/>
          <w:sz w:val="32"/>
          <w:szCs w:val="32"/>
          <w:highlight w:val="none"/>
          <w:u w:val="none" w:color="auto"/>
          <w:lang w:val="zh-CN" w:eastAsia="zh-CN"/>
          <w14:textFill>
            <w14:solidFill>
              <w14:schemeClr w14:val="tx1"/>
            </w14:solidFill>
          </w14:textFill>
        </w:rPr>
        <w:t>持续推进“村地区管”“企地区管”，加强信息化系统建设及成果应用，全面提升土地房屋使用效益。（</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pacing w:val="0"/>
          <w:sz w:val="32"/>
          <w:szCs w:val="32"/>
          <w:highlight w:val="none"/>
          <w:u w:val="none" w:color="auto"/>
          <w:lang w:val="zh-CN"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u w:val="none" w:color="auto"/>
          <w:lang w:val="en-US" w:eastAsia="zh-CN"/>
          <w14:textFill>
            <w14:solidFill>
              <w14:schemeClr w14:val="tx1"/>
            </w14:solidFill>
          </w14:textFill>
        </w:rPr>
        <w:t>研究建立经济政策一致性评估机制，增强经济政策制定和执行的一致性。</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pacing w:val="0"/>
          <w:sz w:val="32"/>
          <w:szCs w:val="32"/>
          <w:highlight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pacing w:val="0"/>
          <w:sz w:val="32"/>
          <w:szCs w:val="32"/>
          <w:highlight w:val="none"/>
          <w:lang w:eastAsia="zh-CN"/>
          <w14:textFill>
            <w14:solidFill>
              <w14:schemeClr w14:val="tx1"/>
            </w14:solidFill>
          </w14:textFill>
        </w:rPr>
        <w:t>）扎实推进财税和金融体制改革，积极探</w:t>
      </w:r>
      <w:r>
        <w:rPr>
          <w:rFonts w:hint="eastAsia" w:ascii="仿宋_GB2312" w:hAnsi="仿宋_GB2312" w:eastAsia="仿宋_GB2312" w:cs="仿宋_GB2312"/>
          <w:b w:val="0"/>
          <w:bCs w:val="0"/>
          <w:color w:val="000000" w:themeColor="text1"/>
          <w:spacing w:val="-6"/>
          <w:sz w:val="32"/>
          <w:szCs w:val="32"/>
          <w:highlight w:val="none"/>
          <w:lang w:eastAsia="zh-CN"/>
          <w14:textFill>
            <w14:solidFill>
              <w14:schemeClr w14:val="tx1"/>
            </w14:solidFill>
          </w14:textFill>
        </w:rPr>
        <w:t>索构建政府投资基金谱系，</w:t>
      </w:r>
      <w:r>
        <w:rPr>
          <w:rFonts w:hint="eastAsia" w:ascii="仿宋_GB2312" w:hAnsi="仿宋_GB2312" w:eastAsia="仿宋_GB2312" w:cs="仿宋_GB2312"/>
          <w:b w:val="0"/>
          <w:bCs w:val="0"/>
          <w:color w:val="000000" w:themeColor="text1"/>
          <w:spacing w:val="-6"/>
          <w:sz w:val="32"/>
          <w:szCs w:val="32"/>
          <w:highlight w:val="none"/>
          <w:lang w:val="en-US" w:eastAsia="zh-CN"/>
          <w14:textFill>
            <w14:solidFill>
              <w14:schemeClr w14:val="tx1"/>
            </w14:solidFill>
          </w14:textFill>
        </w:rPr>
        <w:t>争取更多产业基金、上级政策资金、金融机构资金，构建母子基金投资矩阵。（8）</w:t>
      </w:r>
      <w:r>
        <w:rPr>
          <w:rFonts w:hint="eastAsia" w:ascii="仿宋_GB2312" w:hAnsi="仿宋_GB2312" w:eastAsia="仿宋_GB2312" w:cs="仿宋_GB2312"/>
          <w:b w:val="0"/>
          <w:bCs w:val="0"/>
          <w:color w:val="000000" w:themeColor="text1"/>
          <w:spacing w:val="-6"/>
          <w:sz w:val="32"/>
          <w:szCs w:val="32"/>
          <w:highlight w:val="none"/>
          <w:lang w:eastAsia="zh-CN"/>
          <w14:textFill>
            <w14:solidFill>
              <w14:schemeClr w14:val="tx1"/>
            </w14:solidFill>
          </w14:textFill>
        </w:rPr>
        <w:t>推动预算管理与绩效管理深度融合，</w:t>
      </w:r>
      <w:r>
        <w:rPr>
          <w:rFonts w:hint="eastAsia" w:ascii="仿宋_GB2312" w:hAnsi="仿宋_GB2312" w:eastAsia="仿宋_GB2312" w:cs="仿宋_GB2312"/>
          <w:b w:val="0"/>
          <w:bCs w:val="0"/>
          <w:color w:val="000000" w:themeColor="text1"/>
          <w:spacing w:val="-6"/>
          <w:sz w:val="32"/>
          <w:szCs w:val="32"/>
          <w:highlight w:val="none"/>
          <w:lang w:val="en-US" w:eastAsia="zh-CN"/>
          <w14:textFill>
            <w14:solidFill>
              <w14:schemeClr w14:val="tx1"/>
            </w14:solidFill>
          </w14:textFill>
        </w:rPr>
        <w:t>开展全过程预算绩效管理，发挥好财政资金聚力增效作用。</w:t>
      </w:r>
    </w:p>
    <w:p w14:paraId="3744E074">
      <w:pPr>
        <w:pStyle w:val="5"/>
        <w:rPr>
          <w:rFonts w:hint="eastAsia"/>
          <w:color w:val="000000" w:themeColor="text1"/>
          <w:lang w:eastAsia="zh-CN"/>
          <w14:textFill>
            <w14:solidFill>
              <w14:schemeClr w14:val="tx1"/>
            </w14:solidFill>
          </w14:textFill>
        </w:rPr>
      </w:pPr>
    </w:p>
    <w:p w14:paraId="4072E6BC">
      <w:pPr>
        <w:keepNext w:val="0"/>
        <w:keepLines w:val="0"/>
        <w:pageBreakBefore w:val="0"/>
        <w:widowControl w:val="0"/>
        <w:kinsoku/>
        <w:wordWrap/>
        <w:topLinePunct w:val="0"/>
        <w:autoSpaceDE/>
        <w:autoSpaceDN/>
        <w:bidi w:val="0"/>
        <w:adjustRightInd/>
        <w:snapToGrid/>
        <w:spacing w:line="560" w:lineRule="exact"/>
        <w:ind w:firstLineChars="200"/>
        <w:textAlignment w:val="auto"/>
        <w:rPr>
          <w:rFonts w:hint="eastAsia" w:ascii="仿宋_GB2312" w:hAnsi="仿宋_GB2312" w:eastAsia="仿宋_GB2312" w:cs="仿宋_GB2312"/>
          <w:color w:val="000000" w:themeColor="text1"/>
          <w:sz w:val="32"/>
          <w:szCs w:val="32"/>
          <w:highlight w:val="none"/>
          <w:u w:val="none" w:color="auto"/>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color="auto"/>
          <w:lang w:eastAsia="zh-CN"/>
          <w14:textFill>
            <w14:solidFill>
              <w14:schemeClr w14:val="tx1"/>
            </w14:solidFill>
          </w14:textFill>
        </w:rPr>
        <w:br w:type="page"/>
      </w:r>
    </w:p>
    <w:p w14:paraId="02280B0B">
      <w:pPr>
        <w:pStyle w:val="31"/>
        <w:bidi w:val="0"/>
        <w:spacing w:line="240" w:lineRule="auto"/>
        <w:rPr>
          <w:rFonts w:hint="default"/>
          <w:color w:val="000000" w:themeColor="text1"/>
          <w:sz w:val="40"/>
          <w:szCs w:val="40"/>
          <w:lang w:val="en-US" w:eastAsia="zh-CN"/>
          <w14:textFill>
            <w14:solidFill>
              <w14:schemeClr w14:val="tx1"/>
            </w14:solidFill>
          </w14:textFill>
        </w:rPr>
      </w:pPr>
      <w:r>
        <w:rPr>
          <w:rFonts w:hint="eastAsia" w:ascii="方正小标宋简体" w:hAnsi="方正小标宋简体" w:eastAsia="方正小标宋简体" w:cs="方正小标宋简体"/>
          <w:color w:val="000000"/>
          <w:kern w:val="2"/>
          <w:sz w:val="32"/>
          <w:szCs w:val="32"/>
          <w:lang w:val="en-US" w:eastAsia="zh-CN" w:bidi="ar-SA"/>
        </w:rPr>
        <w:t>2025年海淀区国民经济和社会发展计划</w:t>
      </w:r>
    </w:p>
    <w:tbl>
      <w:tblPr>
        <w:tblStyle w:val="25"/>
        <w:tblW w:w="884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28" w:type="dxa"/>
          <w:bottom w:w="0" w:type="dxa"/>
          <w:right w:w="28" w:type="dxa"/>
        </w:tblCellMar>
      </w:tblPr>
      <w:tblGrid>
        <w:gridCol w:w="422"/>
        <w:gridCol w:w="853"/>
        <w:gridCol w:w="1070"/>
        <w:gridCol w:w="1118"/>
        <w:gridCol w:w="1058"/>
        <w:gridCol w:w="1222"/>
        <w:gridCol w:w="1058"/>
        <w:gridCol w:w="807"/>
        <w:gridCol w:w="1236"/>
      </w:tblGrid>
      <w:tr w14:paraId="07E38C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tblHeader/>
          <w:jc w:val="center"/>
        </w:trPr>
        <w:tc>
          <w:tcPr>
            <w:tcW w:w="239" w:type="pct"/>
            <w:tcBorders>
              <w:tl2br w:val="nil"/>
              <w:tr2bl w:val="nil"/>
            </w:tcBorders>
            <w:noWrap w:val="0"/>
            <w:tcMar>
              <w:top w:w="0" w:type="dxa"/>
              <w:left w:w="57" w:type="dxa"/>
              <w:bottom w:w="0" w:type="dxa"/>
              <w:right w:w="57" w:type="dxa"/>
            </w:tcMar>
            <w:vAlign w:val="center"/>
          </w:tcPr>
          <w:p w14:paraId="1442850B">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序号</w:t>
            </w:r>
          </w:p>
        </w:tc>
        <w:tc>
          <w:tcPr>
            <w:tcW w:w="1087" w:type="pct"/>
            <w:gridSpan w:val="2"/>
            <w:tcBorders>
              <w:tl2br w:val="nil"/>
              <w:tr2bl w:val="nil"/>
            </w:tcBorders>
            <w:noWrap w:val="0"/>
            <w:tcMar>
              <w:top w:w="0" w:type="dxa"/>
              <w:left w:w="57" w:type="dxa"/>
              <w:bottom w:w="0" w:type="dxa"/>
              <w:right w:w="57" w:type="dxa"/>
            </w:tcMar>
            <w:vAlign w:val="center"/>
          </w:tcPr>
          <w:p w14:paraId="6253E7BB">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指标</w:t>
            </w:r>
          </w:p>
        </w:tc>
        <w:tc>
          <w:tcPr>
            <w:tcW w:w="632" w:type="pct"/>
            <w:tcBorders>
              <w:tl2br w:val="nil"/>
              <w:tr2bl w:val="nil"/>
            </w:tcBorders>
            <w:noWrap w:val="0"/>
            <w:tcMar>
              <w:top w:w="0" w:type="dxa"/>
              <w:left w:w="57" w:type="dxa"/>
              <w:bottom w:w="0" w:type="dxa"/>
              <w:right w:w="57" w:type="dxa"/>
            </w:tcMar>
            <w:vAlign w:val="center"/>
          </w:tcPr>
          <w:p w14:paraId="7085BF33">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“十四五”规划</w:t>
            </w:r>
          </w:p>
          <w:p w14:paraId="73A5D1F1">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目标值</w:t>
            </w:r>
          </w:p>
        </w:tc>
        <w:tc>
          <w:tcPr>
            <w:tcW w:w="598" w:type="pct"/>
            <w:tcBorders>
              <w:tl2br w:val="nil"/>
              <w:tr2bl w:val="nil"/>
            </w:tcBorders>
            <w:noWrap w:val="0"/>
            <w:tcMar>
              <w:top w:w="0" w:type="dxa"/>
              <w:left w:w="57" w:type="dxa"/>
              <w:bottom w:w="0" w:type="dxa"/>
              <w:right w:w="57" w:type="dxa"/>
            </w:tcMar>
            <w:vAlign w:val="center"/>
          </w:tcPr>
          <w:p w14:paraId="4C0F3EBB">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2024年</w:t>
            </w:r>
          </w:p>
          <w:p w14:paraId="14872CFB">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安排</w:t>
            </w:r>
          </w:p>
        </w:tc>
        <w:tc>
          <w:tcPr>
            <w:tcW w:w="691" w:type="pct"/>
            <w:tcBorders>
              <w:tl2br w:val="nil"/>
              <w:tr2bl w:val="nil"/>
            </w:tcBorders>
            <w:noWrap w:val="0"/>
            <w:tcMar>
              <w:top w:w="0" w:type="dxa"/>
              <w:left w:w="57" w:type="dxa"/>
              <w:bottom w:w="0" w:type="dxa"/>
              <w:right w:w="57" w:type="dxa"/>
            </w:tcMar>
            <w:vAlign w:val="center"/>
          </w:tcPr>
          <w:p w14:paraId="3CE63BB5">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2024年</w:t>
            </w:r>
          </w:p>
          <w:p w14:paraId="4B73AEA0">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预计值</w:t>
            </w:r>
          </w:p>
        </w:tc>
        <w:tc>
          <w:tcPr>
            <w:tcW w:w="598" w:type="pct"/>
            <w:tcBorders>
              <w:tl2br w:val="nil"/>
              <w:tr2bl w:val="nil"/>
            </w:tcBorders>
            <w:noWrap w:val="0"/>
            <w:tcMar>
              <w:top w:w="0" w:type="dxa"/>
              <w:left w:w="57" w:type="dxa"/>
              <w:bottom w:w="0" w:type="dxa"/>
              <w:right w:w="57" w:type="dxa"/>
            </w:tcMar>
            <w:vAlign w:val="center"/>
          </w:tcPr>
          <w:p w14:paraId="6FA7394A">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202</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kern w:val="0"/>
                <w:sz w:val="21"/>
                <w:szCs w:val="21"/>
                <w:highlight w:val="none"/>
                <w14:textFill>
                  <w14:solidFill>
                    <w14:schemeClr w14:val="tx1"/>
                  </w14:solidFill>
                </w14:textFill>
              </w:rPr>
              <w:t>年</w:t>
            </w:r>
          </w:p>
          <w:p w14:paraId="5EB522D4">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安排建议</w:t>
            </w:r>
          </w:p>
        </w:tc>
        <w:tc>
          <w:tcPr>
            <w:tcW w:w="456" w:type="pct"/>
            <w:tcBorders>
              <w:tl2br w:val="nil"/>
              <w:tr2bl w:val="nil"/>
            </w:tcBorders>
            <w:noWrap w:val="0"/>
            <w:tcMar>
              <w:top w:w="0" w:type="dxa"/>
              <w:left w:w="57" w:type="dxa"/>
              <w:bottom w:w="0" w:type="dxa"/>
              <w:right w:w="57" w:type="dxa"/>
            </w:tcMar>
            <w:vAlign w:val="center"/>
          </w:tcPr>
          <w:p w14:paraId="6C58295F">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指标</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br w:type="textWrapping"/>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属性</w:t>
            </w:r>
          </w:p>
        </w:tc>
        <w:tc>
          <w:tcPr>
            <w:tcW w:w="694" w:type="pct"/>
            <w:tcBorders>
              <w:tl2br w:val="nil"/>
              <w:tr2bl w:val="nil"/>
            </w:tcBorders>
            <w:noWrap w:val="0"/>
            <w:tcMar>
              <w:top w:w="0" w:type="dxa"/>
              <w:left w:w="57" w:type="dxa"/>
              <w:bottom w:w="0" w:type="dxa"/>
              <w:right w:w="57" w:type="dxa"/>
            </w:tcMar>
            <w:vAlign w:val="center"/>
          </w:tcPr>
          <w:p w14:paraId="2941403E">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责任部门</w:t>
            </w:r>
          </w:p>
        </w:tc>
      </w:tr>
      <w:tr w14:paraId="0BC695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5000" w:type="pct"/>
            <w:gridSpan w:val="9"/>
            <w:tcBorders>
              <w:tl2br w:val="nil"/>
              <w:tr2bl w:val="nil"/>
            </w:tcBorders>
            <w:noWrap w:val="0"/>
            <w:tcMar>
              <w:top w:w="0" w:type="dxa"/>
              <w:left w:w="57" w:type="dxa"/>
              <w:bottom w:w="0" w:type="dxa"/>
              <w:right w:w="57" w:type="dxa"/>
            </w:tcMar>
            <w:vAlign w:val="center"/>
          </w:tcPr>
          <w:p w14:paraId="30EB536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十四五</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规划内指标</w:t>
            </w:r>
          </w:p>
        </w:tc>
      </w:tr>
      <w:tr w14:paraId="3C3D59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2CB6CB0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p>
        </w:tc>
        <w:tc>
          <w:tcPr>
            <w:tcW w:w="1087" w:type="pct"/>
            <w:gridSpan w:val="2"/>
            <w:tcBorders>
              <w:tl2br w:val="nil"/>
              <w:tr2bl w:val="nil"/>
            </w:tcBorders>
            <w:noWrap w:val="0"/>
            <w:tcMar>
              <w:top w:w="0" w:type="dxa"/>
              <w:left w:w="57" w:type="dxa"/>
              <w:bottom w:w="0" w:type="dxa"/>
              <w:right w:w="57" w:type="dxa"/>
            </w:tcMar>
            <w:vAlign w:val="center"/>
          </w:tcPr>
          <w:p w14:paraId="16A87E6D">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vertAlign w:val="superscript"/>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常住人口规模</w:t>
            </w:r>
          </w:p>
          <w:p w14:paraId="1D8D956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（万人）</w:t>
            </w:r>
          </w:p>
        </w:tc>
        <w:tc>
          <w:tcPr>
            <w:tcW w:w="632" w:type="pct"/>
            <w:tcBorders>
              <w:tl2br w:val="nil"/>
              <w:tr2bl w:val="nil"/>
            </w:tcBorders>
            <w:noWrap w:val="0"/>
            <w:tcMar>
              <w:top w:w="0" w:type="dxa"/>
              <w:left w:w="57" w:type="dxa"/>
              <w:bottom w:w="0" w:type="dxa"/>
              <w:right w:w="57" w:type="dxa"/>
            </w:tcMar>
            <w:vAlign w:val="center"/>
          </w:tcPr>
          <w:p w14:paraId="28A5146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312.6</w:t>
            </w:r>
          </w:p>
        </w:tc>
        <w:tc>
          <w:tcPr>
            <w:tcW w:w="598" w:type="pct"/>
            <w:tcBorders>
              <w:tl2br w:val="nil"/>
              <w:tr2bl w:val="nil"/>
            </w:tcBorders>
            <w:noWrap w:val="0"/>
            <w:tcMar>
              <w:top w:w="0" w:type="dxa"/>
              <w:left w:w="57" w:type="dxa"/>
              <w:bottom w:w="0" w:type="dxa"/>
              <w:right w:w="57" w:type="dxa"/>
            </w:tcMar>
            <w:vAlign w:val="center"/>
          </w:tcPr>
          <w:p w14:paraId="0845CF0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&lt;313.2</w:t>
            </w:r>
          </w:p>
        </w:tc>
        <w:tc>
          <w:tcPr>
            <w:tcW w:w="691" w:type="pct"/>
            <w:tcBorders>
              <w:tl2br w:val="nil"/>
              <w:tr2bl w:val="nil"/>
            </w:tcBorders>
            <w:noWrap w:val="0"/>
            <w:tcMar>
              <w:top w:w="0" w:type="dxa"/>
              <w:left w:w="57" w:type="dxa"/>
              <w:bottom w:w="0" w:type="dxa"/>
              <w:right w:w="57" w:type="dxa"/>
            </w:tcMar>
            <w:vAlign w:val="center"/>
          </w:tcPr>
          <w:p w14:paraId="01DE21F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&lt;313.2</w:t>
            </w:r>
          </w:p>
        </w:tc>
        <w:tc>
          <w:tcPr>
            <w:tcW w:w="598" w:type="pct"/>
            <w:tcBorders>
              <w:tl2br w:val="nil"/>
              <w:tr2bl w:val="nil"/>
            </w:tcBorders>
            <w:noWrap w:val="0"/>
            <w:tcMar>
              <w:top w:w="0" w:type="dxa"/>
              <w:left w:w="57" w:type="dxa"/>
              <w:bottom w:w="0" w:type="dxa"/>
              <w:right w:w="57" w:type="dxa"/>
            </w:tcMar>
            <w:vAlign w:val="center"/>
          </w:tcPr>
          <w:p w14:paraId="5015265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&lt;313.2</w:t>
            </w:r>
          </w:p>
        </w:tc>
        <w:tc>
          <w:tcPr>
            <w:tcW w:w="456" w:type="pct"/>
            <w:tcBorders>
              <w:tl2br w:val="nil"/>
              <w:tr2bl w:val="nil"/>
            </w:tcBorders>
            <w:noWrap w:val="0"/>
            <w:tcMar>
              <w:top w:w="0" w:type="dxa"/>
              <w:left w:w="57" w:type="dxa"/>
              <w:bottom w:w="0" w:type="dxa"/>
              <w:right w:w="57" w:type="dxa"/>
            </w:tcMar>
            <w:vAlign w:val="center"/>
          </w:tcPr>
          <w:p w14:paraId="68A15F6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 w:type="dxa"/>
              <w:left w:w="57" w:type="dxa"/>
              <w:bottom w:w="6" w:type="dxa"/>
              <w:right w:w="57" w:type="dxa"/>
            </w:tcMar>
            <w:vAlign w:val="center"/>
          </w:tcPr>
          <w:p w14:paraId="0FB6BEE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区发展</w:t>
            </w:r>
          </w:p>
          <w:p w14:paraId="09D696E9">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改革委</w:t>
            </w:r>
          </w:p>
        </w:tc>
      </w:tr>
      <w:tr w14:paraId="7A591A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40357CE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w:t>
            </w:r>
          </w:p>
        </w:tc>
        <w:tc>
          <w:tcPr>
            <w:tcW w:w="1087" w:type="pct"/>
            <w:gridSpan w:val="2"/>
            <w:tcBorders>
              <w:tl2br w:val="nil"/>
              <w:tr2bl w:val="nil"/>
            </w:tcBorders>
            <w:noWrap w:val="0"/>
            <w:tcMar>
              <w:top w:w="0" w:type="dxa"/>
              <w:left w:w="57" w:type="dxa"/>
              <w:bottom w:w="0" w:type="dxa"/>
              <w:right w:w="57" w:type="dxa"/>
            </w:tcMar>
            <w:vAlign w:val="center"/>
          </w:tcPr>
          <w:p w14:paraId="5CDE1754">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城乡建设用地规模（平方公里）</w:t>
            </w:r>
          </w:p>
        </w:tc>
        <w:tc>
          <w:tcPr>
            <w:tcW w:w="632" w:type="pct"/>
            <w:tcBorders>
              <w:tl2br w:val="nil"/>
              <w:tr2bl w:val="nil"/>
            </w:tcBorders>
            <w:noWrap w:val="0"/>
            <w:tcMar>
              <w:top w:w="0" w:type="dxa"/>
              <w:left w:w="57" w:type="dxa"/>
              <w:bottom w:w="0" w:type="dxa"/>
              <w:right w:w="57" w:type="dxa"/>
            </w:tcMar>
            <w:vAlign w:val="center"/>
          </w:tcPr>
          <w:p w14:paraId="34DE2175">
            <w:pPr>
              <w:keepNext w:val="0"/>
              <w:keepLines w:val="0"/>
              <w:pageBreakBefore w:val="0"/>
              <w:widowControl/>
              <w:kinsoku/>
              <w:wordWrap/>
              <w:overflowPunct/>
              <w:topLinePunct w:val="0"/>
              <w:autoSpaceDE/>
              <w:autoSpaceDN/>
              <w:bidi w:val="0"/>
              <w:adjustRightInd w:val="0"/>
              <w:snapToGrid w:val="0"/>
              <w:spacing w:line="290" w:lineRule="exac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达到市级要求</w:t>
            </w:r>
          </w:p>
        </w:tc>
        <w:tc>
          <w:tcPr>
            <w:tcW w:w="598" w:type="pct"/>
            <w:tcBorders>
              <w:tl2br w:val="nil"/>
              <w:tr2bl w:val="nil"/>
            </w:tcBorders>
            <w:noWrap w:val="0"/>
            <w:tcMar>
              <w:top w:w="0" w:type="dxa"/>
              <w:left w:w="57" w:type="dxa"/>
              <w:bottom w:w="0" w:type="dxa"/>
              <w:right w:w="57" w:type="dxa"/>
            </w:tcMar>
            <w:vAlign w:val="center"/>
          </w:tcPr>
          <w:p w14:paraId="45D76BFD">
            <w:pPr>
              <w:keepNext w:val="0"/>
              <w:keepLines w:val="0"/>
              <w:pageBreakBefore w:val="0"/>
              <w:kinsoku/>
              <w:wordWrap/>
              <w:overflowPunct/>
              <w:topLinePunct w:val="0"/>
              <w:autoSpaceDE/>
              <w:autoSpaceDN/>
              <w:bidi w:val="0"/>
              <w:spacing w:line="29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净减量0.8平方公里</w:t>
            </w:r>
          </w:p>
        </w:tc>
        <w:tc>
          <w:tcPr>
            <w:tcW w:w="691" w:type="pct"/>
            <w:tcBorders>
              <w:tl2br w:val="nil"/>
              <w:tr2bl w:val="nil"/>
            </w:tcBorders>
            <w:noWrap w:val="0"/>
            <w:tcMar>
              <w:top w:w="0" w:type="dxa"/>
              <w:left w:w="57" w:type="dxa"/>
              <w:bottom w:w="0" w:type="dxa"/>
              <w:right w:w="57" w:type="dxa"/>
            </w:tcMar>
            <w:vAlign w:val="center"/>
          </w:tcPr>
          <w:p w14:paraId="6FE4C8CB">
            <w:pPr>
              <w:keepNext w:val="0"/>
              <w:keepLines w:val="0"/>
              <w:pageBreakBefore w:val="0"/>
              <w:widowControl/>
              <w:suppressLineNumbers w:val="0"/>
              <w:kinsoku/>
              <w:wordWrap/>
              <w:overflowPunct/>
              <w:topLinePunct w:val="0"/>
              <w:autoSpaceDE/>
              <w:autoSpaceDN/>
              <w:bidi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净减量0.8平方公里</w:t>
            </w:r>
          </w:p>
        </w:tc>
        <w:tc>
          <w:tcPr>
            <w:tcW w:w="598" w:type="pct"/>
            <w:tcBorders>
              <w:tl2br w:val="nil"/>
              <w:tr2bl w:val="nil"/>
            </w:tcBorders>
            <w:noWrap w:val="0"/>
            <w:tcMar>
              <w:top w:w="0" w:type="dxa"/>
              <w:left w:w="57" w:type="dxa"/>
              <w:bottom w:w="0" w:type="dxa"/>
              <w:right w:w="57" w:type="dxa"/>
            </w:tcMar>
            <w:vAlign w:val="center"/>
          </w:tcPr>
          <w:p w14:paraId="30C37C6F">
            <w:pPr>
              <w:keepNext w:val="0"/>
              <w:keepLines w:val="0"/>
              <w:pageBreakBefore w:val="0"/>
              <w:widowControl/>
              <w:suppressLineNumbers w:val="0"/>
              <w:kinsoku/>
              <w:wordWrap/>
              <w:overflowPunct/>
              <w:topLinePunct w:val="0"/>
              <w:autoSpaceDE/>
              <w:autoSpaceDN/>
              <w:bidi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减量0.</w:t>
            </w:r>
            <w:r>
              <w:rPr>
                <w:rFonts w:hint="eastAsia" w:ascii="宋体" w:hAnsi="宋体" w:cs="宋体"/>
                <w:color w:val="000000" w:themeColor="text1"/>
                <w:kern w:val="0"/>
                <w:sz w:val="20"/>
                <w:szCs w:val="20"/>
                <w:highlight w:val="none"/>
                <w:lang w:val="en-US" w:eastAsia="zh-CN"/>
                <w14:textFill>
                  <w14:solidFill>
                    <w14:schemeClr w14:val="tx1"/>
                  </w14:solidFill>
                </w14:textFill>
              </w:rPr>
              <w:t>7</w:t>
            </w: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平方公里</w:t>
            </w:r>
          </w:p>
        </w:tc>
        <w:tc>
          <w:tcPr>
            <w:tcW w:w="456" w:type="pct"/>
            <w:tcBorders>
              <w:tl2br w:val="nil"/>
              <w:tr2bl w:val="nil"/>
            </w:tcBorders>
            <w:noWrap w:val="0"/>
            <w:tcMar>
              <w:top w:w="0" w:type="dxa"/>
              <w:left w:w="57" w:type="dxa"/>
              <w:bottom w:w="0" w:type="dxa"/>
              <w:right w:w="57" w:type="dxa"/>
            </w:tcMar>
            <w:vAlign w:val="center"/>
          </w:tcPr>
          <w:p w14:paraId="1E85DAD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 w:type="dxa"/>
              <w:left w:w="57" w:type="dxa"/>
              <w:bottom w:w="6" w:type="dxa"/>
              <w:right w:w="57" w:type="dxa"/>
            </w:tcMar>
            <w:vAlign w:val="center"/>
          </w:tcPr>
          <w:p w14:paraId="5495332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市规划自然资源委海淀分局</w:t>
            </w:r>
          </w:p>
        </w:tc>
      </w:tr>
      <w:tr w14:paraId="50153CB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2F17979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w:t>
            </w:r>
          </w:p>
        </w:tc>
        <w:tc>
          <w:tcPr>
            <w:tcW w:w="1087" w:type="pct"/>
            <w:gridSpan w:val="2"/>
            <w:tcBorders>
              <w:tl2br w:val="nil"/>
              <w:tr2bl w:val="nil"/>
            </w:tcBorders>
            <w:noWrap w:val="0"/>
            <w:tcMar>
              <w:top w:w="0" w:type="dxa"/>
              <w:left w:w="57" w:type="dxa"/>
              <w:bottom w:w="0" w:type="dxa"/>
              <w:right w:w="57" w:type="dxa"/>
            </w:tcMar>
            <w:vAlign w:val="center"/>
          </w:tcPr>
          <w:p w14:paraId="0CEC52B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生产生活用水总量（亿立方米）</w:t>
            </w:r>
          </w:p>
        </w:tc>
        <w:tc>
          <w:tcPr>
            <w:tcW w:w="632" w:type="pct"/>
            <w:tcBorders>
              <w:tl2br w:val="nil"/>
              <w:tr2bl w:val="nil"/>
            </w:tcBorders>
            <w:noWrap w:val="0"/>
            <w:tcMar>
              <w:top w:w="0" w:type="dxa"/>
              <w:left w:w="57" w:type="dxa"/>
              <w:bottom w:w="0" w:type="dxa"/>
              <w:right w:w="57" w:type="dxa"/>
            </w:tcMar>
            <w:vAlign w:val="center"/>
          </w:tcPr>
          <w:p w14:paraId="24FD5AF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&lt;</w:t>
            </w:r>
            <w:r>
              <w:rPr>
                <w:rFonts w:hint="eastAsia" w:ascii="宋体" w:hAnsi="宋体" w:eastAsia="宋体" w:cs="宋体"/>
                <w:color w:val="000000" w:themeColor="text1"/>
                <w:kern w:val="0"/>
                <w:sz w:val="21"/>
                <w:szCs w:val="21"/>
                <w:highlight w:val="none"/>
                <w14:textFill>
                  <w14:solidFill>
                    <w14:schemeClr w14:val="tx1"/>
                  </w14:solidFill>
                </w14:textFill>
              </w:rPr>
              <w:t>3.4</w:t>
            </w:r>
          </w:p>
        </w:tc>
        <w:tc>
          <w:tcPr>
            <w:tcW w:w="598" w:type="pct"/>
            <w:tcBorders>
              <w:tl2br w:val="nil"/>
              <w:tr2bl w:val="nil"/>
            </w:tcBorders>
            <w:noWrap w:val="0"/>
            <w:tcMar>
              <w:top w:w="0" w:type="dxa"/>
              <w:left w:w="57" w:type="dxa"/>
              <w:bottom w:w="0" w:type="dxa"/>
              <w:right w:w="57" w:type="dxa"/>
            </w:tcMar>
            <w:vAlign w:val="center"/>
          </w:tcPr>
          <w:p w14:paraId="485C7AEE">
            <w:pPr>
              <w:keepNext w:val="0"/>
              <w:keepLines w:val="0"/>
              <w:pageBreakBefore w:val="0"/>
              <w:kinsoku/>
              <w:wordWrap/>
              <w:overflowPunct/>
              <w:topLinePunct w:val="0"/>
              <w:autoSpaceDE/>
              <w:autoSpaceDN/>
              <w:bidi w:val="0"/>
              <w:spacing w:line="29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&lt;3.3</w:t>
            </w:r>
          </w:p>
        </w:tc>
        <w:tc>
          <w:tcPr>
            <w:tcW w:w="691" w:type="pct"/>
            <w:tcBorders>
              <w:tl2br w:val="nil"/>
              <w:tr2bl w:val="nil"/>
            </w:tcBorders>
            <w:noWrap w:val="0"/>
            <w:tcMar>
              <w:top w:w="0" w:type="dxa"/>
              <w:left w:w="57" w:type="dxa"/>
              <w:bottom w:w="0" w:type="dxa"/>
              <w:right w:w="57" w:type="dxa"/>
            </w:tcMar>
            <w:vAlign w:val="center"/>
          </w:tcPr>
          <w:p w14:paraId="3941CE24">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&lt;3.3</w:t>
            </w:r>
          </w:p>
        </w:tc>
        <w:tc>
          <w:tcPr>
            <w:tcW w:w="598" w:type="pct"/>
            <w:tcBorders>
              <w:tl2br w:val="nil"/>
              <w:tr2bl w:val="nil"/>
            </w:tcBorders>
            <w:noWrap w:val="0"/>
            <w:tcMar>
              <w:top w:w="0" w:type="dxa"/>
              <w:left w:w="57" w:type="dxa"/>
              <w:bottom w:w="0" w:type="dxa"/>
              <w:right w:w="57" w:type="dxa"/>
            </w:tcMar>
            <w:vAlign w:val="center"/>
          </w:tcPr>
          <w:p w14:paraId="694248AB">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&lt;</w:t>
            </w:r>
            <w:r>
              <w:rPr>
                <w:rFonts w:hint="eastAsia" w:ascii="宋体" w:hAnsi="宋体" w:eastAsia="宋体" w:cs="宋体"/>
                <w:color w:val="000000" w:themeColor="text1"/>
                <w:kern w:val="0"/>
                <w:sz w:val="21"/>
                <w:szCs w:val="21"/>
                <w:highlight w:val="none"/>
                <w14:textFill>
                  <w14:solidFill>
                    <w14:schemeClr w14:val="tx1"/>
                  </w14:solidFill>
                </w14:textFill>
              </w:rPr>
              <w:t>3.4</w:t>
            </w:r>
          </w:p>
        </w:tc>
        <w:tc>
          <w:tcPr>
            <w:tcW w:w="456" w:type="pct"/>
            <w:tcBorders>
              <w:tl2br w:val="nil"/>
              <w:tr2bl w:val="nil"/>
            </w:tcBorders>
            <w:noWrap w:val="0"/>
            <w:tcMar>
              <w:top w:w="0" w:type="dxa"/>
              <w:left w:w="57" w:type="dxa"/>
              <w:bottom w:w="0" w:type="dxa"/>
              <w:right w:w="57" w:type="dxa"/>
            </w:tcMar>
            <w:vAlign w:val="center"/>
          </w:tcPr>
          <w:p w14:paraId="725F0B5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 w:type="dxa"/>
              <w:left w:w="57" w:type="dxa"/>
              <w:bottom w:w="6" w:type="dxa"/>
              <w:right w:w="57" w:type="dxa"/>
            </w:tcMar>
            <w:vAlign w:val="center"/>
          </w:tcPr>
          <w:p w14:paraId="2E53F287">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区水务局</w:t>
            </w:r>
          </w:p>
        </w:tc>
      </w:tr>
      <w:tr w14:paraId="02DC71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27EBD779">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w:t>
            </w:r>
          </w:p>
        </w:tc>
        <w:tc>
          <w:tcPr>
            <w:tcW w:w="1087" w:type="pct"/>
            <w:gridSpan w:val="2"/>
            <w:tcBorders>
              <w:tl2br w:val="nil"/>
              <w:tr2bl w:val="nil"/>
            </w:tcBorders>
            <w:noWrap w:val="0"/>
            <w:tcMar>
              <w:top w:w="0" w:type="dxa"/>
              <w:left w:w="57" w:type="dxa"/>
              <w:bottom w:w="0" w:type="dxa"/>
              <w:right w:w="57" w:type="dxa"/>
            </w:tcMar>
            <w:vAlign w:val="center"/>
          </w:tcPr>
          <w:p w14:paraId="4629EBB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地区生产总值</w:t>
            </w:r>
          </w:p>
          <w:p w14:paraId="716114F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增速（%）</w:t>
            </w:r>
          </w:p>
        </w:tc>
        <w:tc>
          <w:tcPr>
            <w:tcW w:w="632" w:type="pct"/>
            <w:tcBorders>
              <w:tl2br w:val="nil"/>
              <w:tr2bl w:val="nil"/>
            </w:tcBorders>
            <w:noWrap w:val="0"/>
            <w:tcMar>
              <w:top w:w="0" w:type="dxa"/>
              <w:left w:w="57" w:type="dxa"/>
              <w:bottom w:w="0" w:type="dxa"/>
              <w:right w:w="57" w:type="dxa"/>
            </w:tcMar>
            <w:vAlign w:val="center"/>
          </w:tcPr>
          <w:p w14:paraId="4AEA7979">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p>
        </w:tc>
        <w:tc>
          <w:tcPr>
            <w:tcW w:w="598" w:type="pct"/>
            <w:tcBorders>
              <w:tl2br w:val="nil"/>
              <w:tr2bl w:val="nil"/>
            </w:tcBorders>
            <w:noWrap w:val="0"/>
            <w:tcMar>
              <w:top w:w="0" w:type="dxa"/>
              <w:left w:w="57" w:type="dxa"/>
              <w:bottom w:w="0" w:type="dxa"/>
              <w:right w:w="57" w:type="dxa"/>
            </w:tcMar>
            <w:vAlign w:val="center"/>
          </w:tcPr>
          <w:p w14:paraId="6F04DE6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p>
        </w:tc>
        <w:tc>
          <w:tcPr>
            <w:tcW w:w="691" w:type="pct"/>
            <w:tcBorders>
              <w:tl2br w:val="nil"/>
              <w:tr2bl w:val="nil"/>
            </w:tcBorders>
            <w:noWrap w:val="0"/>
            <w:tcMar>
              <w:top w:w="0" w:type="dxa"/>
              <w:left w:w="57" w:type="dxa"/>
              <w:bottom w:w="0" w:type="dxa"/>
              <w:right w:w="57" w:type="dxa"/>
            </w:tcMar>
            <w:vAlign w:val="center"/>
          </w:tcPr>
          <w:p w14:paraId="0747329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p>
        </w:tc>
        <w:tc>
          <w:tcPr>
            <w:tcW w:w="598" w:type="pct"/>
            <w:tcBorders>
              <w:tl2br w:val="nil"/>
              <w:tr2bl w:val="nil"/>
            </w:tcBorders>
            <w:noWrap w:val="0"/>
            <w:tcMar>
              <w:top w:w="0" w:type="dxa"/>
              <w:left w:w="57" w:type="dxa"/>
              <w:bottom w:w="0" w:type="dxa"/>
              <w:right w:w="57" w:type="dxa"/>
            </w:tcMar>
            <w:vAlign w:val="center"/>
          </w:tcPr>
          <w:p w14:paraId="487049F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5.5</w:t>
            </w:r>
          </w:p>
        </w:tc>
        <w:tc>
          <w:tcPr>
            <w:tcW w:w="456" w:type="pct"/>
            <w:tcBorders>
              <w:tl2br w:val="nil"/>
              <w:tr2bl w:val="nil"/>
            </w:tcBorders>
            <w:noWrap w:val="0"/>
            <w:tcMar>
              <w:top w:w="0" w:type="dxa"/>
              <w:left w:w="57" w:type="dxa"/>
              <w:bottom w:w="0" w:type="dxa"/>
              <w:right w:w="57" w:type="dxa"/>
            </w:tcMar>
            <w:vAlign w:val="center"/>
          </w:tcPr>
          <w:p w14:paraId="6CC79EE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6" w:type="dxa"/>
              <w:left w:w="57" w:type="dxa"/>
              <w:bottom w:w="6" w:type="dxa"/>
              <w:right w:w="57" w:type="dxa"/>
            </w:tcMar>
            <w:vAlign w:val="center"/>
          </w:tcPr>
          <w:p w14:paraId="4A9CB0A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区发展</w:t>
            </w:r>
          </w:p>
          <w:p w14:paraId="0343977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改革委</w:t>
            </w:r>
          </w:p>
        </w:tc>
      </w:tr>
      <w:tr w14:paraId="499837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67BC1E0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w:t>
            </w:r>
          </w:p>
        </w:tc>
        <w:tc>
          <w:tcPr>
            <w:tcW w:w="1087" w:type="pct"/>
            <w:gridSpan w:val="2"/>
            <w:tcBorders>
              <w:tl2br w:val="nil"/>
              <w:tr2bl w:val="nil"/>
            </w:tcBorders>
            <w:noWrap w:val="0"/>
            <w:tcMar>
              <w:top w:w="0" w:type="dxa"/>
              <w:left w:w="57" w:type="dxa"/>
              <w:bottom w:w="0" w:type="dxa"/>
              <w:right w:w="57" w:type="dxa"/>
            </w:tcMar>
            <w:vAlign w:val="center"/>
          </w:tcPr>
          <w:p w14:paraId="40396CA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劳动生产率</w:t>
            </w:r>
          </w:p>
          <w:p w14:paraId="5CE8F27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（万元/人）</w:t>
            </w:r>
          </w:p>
        </w:tc>
        <w:tc>
          <w:tcPr>
            <w:tcW w:w="632" w:type="pct"/>
            <w:tcBorders>
              <w:tl2br w:val="nil"/>
              <w:tr2bl w:val="nil"/>
            </w:tcBorders>
            <w:noWrap w:val="0"/>
            <w:tcMar>
              <w:top w:w="0" w:type="dxa"/>
              <w:left w:w="57" w:type="dxa"/>
              <w:bottom w:w="0" w:type="dxa"/>
              <w:right w:w="57" w:type="dxa"/>
            </w:tcMar>
            <w:vAlign w:val="center"/>
          </w:tcPr>
          <w:p w14:paraId="5A3A954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38</w:t>
            </w:r>
          </w:p>
        </w:tc>
        <w:tc>
          <w:tcPr>
            <w:tcW w:w="598" w:type="pct"/>
            <w:tcBorders>
              <w:tl2br w:val="nil"/>
              <w:tr2bl w:val="nil"/>
            </w:tcBorders>
            <w:noWrap w:val="0"/>
            <w:tcMar>
              <w:top w:w="0" w:type="dxa"/>
              <w:left w:w="57" w:type="dxa"/>
              <w:bottom w:w="0" w:type="dxa"/>
              <w:right w:w="57" w:type="dxa"/>
            </w:tcMar>
            <w:vAlign w:val="center"/>
          </w:tcPr>
          <w:p w14:paraId="56FB925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44</w:t>
            </w:r>
          </w:p>
        </w:tc>
        <w:tc>
          <w:tcPr>
            <w:tcW w:w="691" w:type="pct"/>
            <w:tcBorders>
              <w:tl2br w:val="nil"/>
              <w:tr2bl w:val="nil"/>
            </w:tcBorders>
            <w:noWrap w:val="0"/>
            <w:tcMar>
              <w:top w:w="0" w:type="dxa"/>
              <w:left w:w="57" w:type="dxa"/>
              <w:bottom w:w="0" w:type="dxa"/>
              <w:right w:w="57" w:type="dxa"/>
            </w:tcMar>
            <w:vAlign w:val="center"/>
          </w:tcPr>
          <w:p w14:paraId="7C473FA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&gt;44</w:t>
            </w:r>
          </w:p>
        </w:tc>
        <w:tc>
          <w:tcPr>
            <w:tcW w:w="598" w:type="pct"/>
            <w:tcBorders>
              <w:tl2br w:val="nil"/>
              <w:tr2bl w:val="nil"/>
            </w:tcBorders>
            <w:noWrap w:val="0"/>
            <w:tcMar>
              <w:top w:w="0" w:type="dxa"/>
              <w:left w:w="57" w:type="dxa"/>
              <w:bottom w:w="0" w:type="dxa"/>
              <w:right w:w="57" w:type="dxa"/>
            </w:tcMar>
            <w:vAlign w:val="center"/>
          </w:tcPr>
          <w:p w14:paraId="438D8E2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45</w:t>
            </w:r>
          </w:p>
        </w:tc>
        <w:tc>
          <w:tcPr>
            <w:tcW w:w="456" w:type="pct"/>
            <w:tcBorders>
              <w:tl2br w:val="nil"/>
              <w:tr2bl w:val="nil"/>
            </w:tcBorders>
            <w:noWrap w:val="0"/>
            <w:tcMar>
              <w:top w:w="0" w:type="dxa"/>
              <w:left w:w="57" w:type="dxa"/>
              <w:bottom w:w="0" w:type="dxa"/>
              <w:right w:w="57" w:type="dxa"/>
            </w:tcMar>
            <w:vAlign w:val="center"/>
          </w:tcPr>
          <w:p w14:paraId="35A2435B">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6" w:type="dxa"/>
              <w:left w:w="57" w:type="dxa"/>
              <w:bottom w:w="6" w:type="dxa"/>
              <w:right w:w="57" w:type="dxa"/>
            </w:tcMar>
            <w:vAlign w:val="center"/>
          </w:tcPr>
          <w:p w14:paraId="7C18A2E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区发展</w:t>
            </w:r>
          </w:p>
          <w:p w14:paraId="723EF5C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改革委</w:t>
            </w:r>
          </w:p>
        </w:tc>
      </w:tr>
      <w:tr w14:paraId="2B3059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3ADA219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p>
        </w:tc>
        <w:tc>
          <w:tcPr>
            <w:tcW w:w="1087" w:type="pct"/>
            <w:gridSpan w:val="2"/>
            <w:tcBorders>
              <w:tl2br w:val="nil"/>
              <w:tr2bl w:val="nil"/>
            </w:tcBorders>
            <w:noWrap w:val="0"/>
            <w:tcMar>
              <w:top w:w="0" w:type="dxa"/>
              <w:left w:w="57" w:type="dxa"/>
              <w:bottom w:w="0" w:type="dxa"/>
              <w:right w:w="57" w:type="dxa"/>
            </w:tcMar>
            <w:vAlign w:val="center"/>
          </w:tcPr>
          <w:p w14:paraId="023BACA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全社会研究与试验发展经费支出占地区生产总值的比重（%）</w:t>
            </w:r>
          </w:p>
        </w:tc>
        <w:tc>
          <w:tcPr>
            <w:tcW w:w="632" w:type="pct"/>
            <w:tcBorders>
              <w:tl2br w:val="nil"/>
              <w:tr2bl w:val="nil"/>
            </w:tcBorders>
            <w:noWrap w:val="0"/>
            <w:tcMar>
              <w:top w:w="0" w:type="dxa"/>
              <w:left w:w="57" w:type="dxa"/>
              <w:bottom w:w="0" w:type="dxa"/>
              <w:right w:w="57" w:type="dxa"/>
            </w:tcMar>
            <w:vAlign w:val="center"/>
          </w:tcPr>
          <w:p w14:paraId="4EDF8BD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w:t>
            </w:r>
          </w:p>
        </w:tc>
        <w:tc>
          <w:tcPr>
            <w:tcW w:w="598" w:type="pct"/>
            <w:tcBorders>
              <w:tl2br w:val="nil"/>
              <w:tr2bl w:val="nil"/>
            </w:tcBorders>
            <w:noWrap w:val="0"/>
            <w:tcMar>
              <w:top w:w="0" w:type="dxa"/>
              <w:left w:w="57" w:type="dxa"/>
              <w:bottom w:w="0" w:type="dxa"/>
              <w:right w:w="57" w:type="dxa"/>
            </w:tcMar>
            <w:vAlign w:val="center"/>
          </w:tcPr>
          <w:p w14:paraId="03860AC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10.5</w:t>
            </w:r>
          </w:p>
        </w:tc>
        <w:tc>
          <w:tcPr>
            <w:tcW w:w="691" w:type="pct"/>
            <w:tcBorders>
              <w:tl2br w:val="nil"/>
              <w:tr2bl w:val="nil"/>
            </w:tcBorders>
            <w:noWrap w:val="0"/>
            <w:tcMar>
              <w:top w:w="0" w:type="dxa"/>
              <w:left w:w="57" w:type="dxa"/>
              <w:bottom w:w="0" w:type="dxa"/>
              <w:right w:w="57" w:type="dxa"/>
            </w:tcMar>
            <w:vAlign w:val="center"/>
          </w:tcPr>
          <w:p w14:paraId="455953E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&gt;10.5</w:t>
            </w:r>
          </w:p>
        </w:tc>
        <w:tc>
          <w:tcPr>
            <w:tcW w:w="598" w:type="pct"/>
            <w:tcBorders>
              <w:tl2br w:val="nil"/>
              <w:tr2bl w:val="nil"/>
            </w:tcBorders>
            <w:noWrap w:val="0"/>
            <w:tcMar>
              <w:top w:w="0" w:type="dxa"/>
              <w:left w:w="57" w:type="dxa"/>
              <w:bottom w:w="0" w:type="dxa"/>
              <w:right w:w="57" w:type="dxa"/>
            </w:tcMar>
            <w:vAlign w:val="center"/>
          </w:tcPr>
          <w:p w14:paraId="4276605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11</w:t>
            </w:r>
          </w:p>
        </w:tc>
        <w:tc>
          <w:tcPr>
            <w:tcW w:w="456" w:type="pct"/>
            <w:tcBorders>
              <w:tl2br w:val="nil"/>
              <w:tr2bl w:val="nil"/>
            </w:tcBorders>
            <w:noWrap w:val="0"/>
            <w:tcMar>
              <w:top w:w="0" w:type="dxa"/>
              <w:left w:w="57" w:type="dxa"/>
              <w:bottom w:w="0" w:type="dxa"/>
              <w:right w:w="57" w:type="dxa"/>
            </w:tcMar>
            <w:vAlign w:val="center"/>
          </w:tcPr>
          <w:p w14:paraId="143C239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6" w:type="dxa"/>
              <w:left w:w="57" w:type="dxa"/>
              <w:bottom w:w="6" w:type="dxa"/>
              <w:right w:w="57" w:type="dxa"/>
            </w:tcMar>
            <w:vAlign w:val="center"/>
          </w:tcPr>
          <w:p w14:paraId="2961EEF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中关村</w:t>
            </w:r>
          </w:p>
          <w:p w14:paraId="1D22223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科学城</w:t>
            </w:r>
          </w:p>
          <w:p w14:paraId="7AA07DF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管委会</w:t>
            </w:r>
          </w:p>
        </w:tc>
      </w:tr>
      <w:tr w14:paraId="2615D5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60D2AB3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7</w:t>
            </w:r>
          </w:p>
        </w:tc>
        <w:tc>
          <w:tcPr>
            <w:tcW w:w="1087" w:type="pct"/>
            <w:gridSpan w:val="2"/>
            <w:tcBorders>
              <w:tl2br w:val="nil"/>
              <w:tr2bl w:val="nil"/>
            </w:tcBorders>
            <w:noWrap w:val="0"/>
            <w:tcMar>
              <w:top w:w="0" w:type="dxa"/>
              <w:left w:w="57" w:type="dxa"/>
              <w:bottom w:w="0" w:type="dxa"/>
              <w:right w:w="57" w:type="dxa"/>
            </w:tcMar>
            <w:vAlign w:val="center"/>
          </w:tcPr>
          <w:p w14:paraId="7185829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园区企业研发投入</w:t>
            </w:r>
            <w:r>
              <w:rPr>
                <w:rFonts w:hint="eastAsia"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14:textFill>
                  <w14:solidFill>
                    <w14:schemeClr w14:val="tx1"/>
                  </w14:solidFill>
                </w14:textFill>
              </w:rPr>
              <w:t>强度(%)</w:t>
            </w:r>
          </w:p>
        </w:tc>
        <w:tc>
          <w:tcPr>
            <w:tcW w:w="632" w:type="pct"/>
            <w:tcBorders>
              <w:tl2br w:val="nil"/>
              <w:tr2bl w:val="nil"/>
            </w:tcBorders>
            <w:noWrap w:val="0"/>
            <w:tcMar>
              <w:top w:w="0" w:type="dxa"/>
              <w:left w:w="57" w:type="dxa"/>
              <w:bottom w:w="0" w:type="dxa"/>
              <w:right w:w="57" w:type="dxa"/>
            </w:tcMar>
            <w:vAlign w:val="center"/>
          </w:tcPr>
          <w:p w14:paraId="03347CD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6.2</w:t>
            </w:r>
          </w:p>
        </w:tc>
        <w:tc>
          <w:tcPr>
            <w:tcW w:w="598" w:type="pct"/>
            <w:tcBorders>
              <w:tl2br w:val="nil"/>
              <w:tr2bl w:val="nil"/>
            </w:tcBorders>
            <w:noWrap w:val="0"/>
            <w:tcMar>
              <w:top w:w="0" w:type="dxa"/>
              <w:left w:w="57" w:type="dxa"/>
              <w:bottom w:w="0" w:type="dxa"/>
              <w:right w:w="57" w:type="dxa"/>
            </w:tcMar>
            <w:vAlign w:val="center"/>
          </w:tcPr>
          <w:p w14:paraId="2B73D93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6.1</w:t>
            </w:r>
          </w:p>
        </w:tc>
        <w:tc>
          <w:tcPr>
            <w:tcW w:w="691" w:type="pct"/>
            <w:tcBorders>
              <w:tl2br w:val="nil"/>
              <w:tr2bl w:val="nil"/>
            </w:tcBorders>
            <w:noWrap w:val="0"/>
            <w:tcMar>
              <w:top w:w="0" w:type="dxa"/>
              <w:left w:w="57" w:type="dxa"/>
              <w:bottom w:w="0" w:type="dxa"/>
              <w:right w:w="57" w:type="dxa"/>
            </w:tcMar>
            <w:vAlign w:val="center"/>
          </w:tcPr>
          <w:p w14:paraId="04F78E0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6.22</w:t>
            </w:r>
          </w:p>
          <w:p w14:paraId="2A81452D">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（1-10月）</w:t>
            </w:r>
          </w:p>
        </w:tc>
        <w:tc>
          <w:tcPr>
            <w:tcW w:w="598" w:type="pct"/>
            <w:tcBorders>
              <w:tl2br w:val="nil"/>
              <w:tr2bl w:val="nil"/>
            </w:tcBorders>
            <w:noWrap w:val="0"/>
            <w:tcMar>
              <w:top w:w="0" w:type="dxa"/>
              <w:left w:w="57" w:type="dxa"/>
              <w:bottom w:w="0" w:type="dxa"/>
              <w:right w:w="57" w:type="dxa"/>
            </w:tcMar>
            <w:vAlign w:val="center"/>
          </w:tcPr>
          <w:p w14:paraId="5C16B1D4">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6.2</w:t>
            </w:r>
          </w:p>
        </w:tc>
        <w:tc>
          <w:tcPr>
            <w:tcW w:w="456" w:type="pct"/>
            <w:tcBorders>
              <w:tl2br w:val="nil"/>
              <w:tr2bl w:val="nil"/>
            </w:tcBorders>
            <w:noWrap w:val="0"/>
            <w:tcMar>
              <w:top w:w="0" w:type="dxa"/>
              <w:left w:w="57" w:type="dxa"/>
              <w:bottom w:w="0" w:type="dxa"/>
              <w:right w:w="57" w:type="dxa"/>
            </w:tcMar>
            <w:vAlign w:val="center"/>
          </w:tcPr>
          <w:p w14:paraId="12036329">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755CAFF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中关村</w:t>
            </w:r>
          </w:p>
          <w:p w14:paraId="4938160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科学城</w:t>
            </w:r>
          </w:p>
          <w:p w14:paraId="19CE3C8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管委会</w:t>
            </w:r>
          </w:p>
        </w:tc>
      </w:tr>
      <w:tr w14:paraId="481DB5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74B8495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p>
        </w:tc>
        <w:tc>
          <w:tcPr>
            <w:tcW w:w="1087" w:type="pct"/>
            <w:gridSpan w:val="2"/>
            <w:tcBorders>
              <w:tl2br w:val="nil"/>
              <w:tr2bl w:val="nil"/>
            </w:tcBorders>
            <w:noWrap w:val="0"/>
            <w:tcMar>
              <w:top w:w="0" w:type="dxa"/>
              <w:left w:w="57" w:type="dxa"/>
              <w:bottom w:w="0" w:type="dxa"/>
              <w:right w:w="57" w:type="dxa"/>
            </w:tcMar>
            <w:vAlign w:val="center"/>
          </w:tcPr>
          <w:p w14:paraId="5F262F1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技术合同成交额</w:t>
            </w:r>
          </w:p>
          <w:p w14:paraId="349AA10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增速（%）</w:t>
            </w:r>
          </w:p>
        </w:tc>
        <w:tc>
          <w:tcPr>
            <w:tcW w:w="632" w:type="pct"/>
            <w:tcBorders>
              <w:tl2br w:val="nil"/>
              <w:tr2bl w:val="nil"/>
            </w:tcBorders>
            <w:noWrap w:val="0"/>
            <w:tcMar>
              <w:top w:w="0" w:type="dxa"/>
              <w:left w:w="57" w:type="dxa"/>
              <w:bottom w:w="0" w:type="dxa"/>
              <w:right w:w="57" w:type="dxa"/>
            </w:tcMar>
            <w:vAlign w:val="center"/>
          </w:tcPr>
          <w:p w14:paraId="0FD34F3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p>
        </w:tc>
        <w:tc>
          <w:tcPr>
            <w:tcW w:w="598" w:type="pct"/>
            <w:tcBorders>
              <w:tl2br w:val="nil"/>
              <w:tr2bl w:val="nil"/>
            </w:tcBorders>
            <w:noWrap w:val="0"/>
            <w:tcMar>
              <w:top w:w="0" w:type="dxa"/>
              <w:left w:w="57" w:type="dxa"/>
              <w:bottom w:w="0" w:type="dxa"/>
              <w:right w:w="57" w:type="dxa"/>
            </w:tcMar>
            <w:vAlign w:val="center"/>
          </w:tcPr>
          <w:p w14:paraId="2B162B0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w:t>
            </w:r>
          </w:p>
        </w:tc>
        <w:tc>
          <w:tcPr>
            <w:tcW w:w="691" w:type="pct"/>
            <w:tcBorders>
              <w:tl2br w:val="nil"/>
              <w:tr2bl w:val="nil"/>
            </w:tcBorders>
            <w:noWrap w:val="0"/>
            <w:tcMar>
              <w:top w:w="0" w:type="dxa"/>
              <w:left w:w="57" w:type="dxa"/>
              <w:bottom w:w="0" w:type="dxa"/>
              <w:right w:w="57" w:type="dxa"/>
            </w:tcMar>
            <w:vAlign w:val="center"/>
          </w:tcPr>
          <w:p w14:paraId="350EED24">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7</w:t>
            </w:r>
          </w:p>
        </w:tc>
        <w:tc>
          <w:tcPr>
            <w:tcW w:w="598" w:type="pct"/>
            <w:tcBorders>
              <w:tl2br w:val="nil"/>
              <w:tr2bl w:val="nil"/>
            </w:tcBorders>
            <w:noWrap w:val="0"/>
            <w:tcMar>
              <w:top w:w="0" w:type="dxa"/>
              <w:left w:w="57" w:type="dxa"/>
              <w:bottom w:w="0" w:type="dxa"/>
              <w:right w:w="57" w:type="dxa"/>
            </w:tcMar>
            <w:vAlign w:val="center"/>
          </w:tcPr>
          <w:p w14:paraId="0D71D1B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达到市级要求</w:t>
            </w:r>
          </w:p>
        </w:tc>
        <w:tc>
          <w:tcPr>
            <w:tcW w:w="456" w:type="pct"/>
            <w:tcBorders>
              <w:tl2br w:val="nil"/>
              <w:tr2bl w:val="nil"/>
            </w:tcBorders>
            <w:noWrap w:val="0"/>
            <w:tcMar>
              <w:top w:w="0" w:type="dxa"/>
              <w:left w:w="57" w:type="dxa"/>
              <w:bottom w:w="0" w:type="dxa"/>
              <w:right w:w="57" w:type="dxa"/>
            </w:tcMar>
            <w:vAlign w:val="center"/>
          </w:tcPr>
          <w:p w14:paraId="5C9A5F4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38C94A6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中关村</w:t>
            </w:r>
          </w:p>
          <w:p w14:paraId="49A418ED">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科学城</w:t>
            </w:r>
          </w:p>
          <w:p w14:paraId="2BC941A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管委会</w:t>
            </w:r>
          </w:p>
        </w:tc>
      </w:tr>
      <w:tr w14:paraId="4E3BC7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78BB283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9</w:t>
            </w:r>
          </w:p>
        </w:tc>
        <w:tc>
          <w:tcPr>
            <w:tcW w:w="1087" w:type="pct"/>
            <w:gridSpan w:val="2"/>
            <w:tcBorders>
              <w:tl2br w:val="nil"/>
              <w:tr2bl w:val="nil"/>
            </w:tcBorders>
            <w:noWrap w:val="0"/>
            <w:tcMar>
              <w:top w:w="0" w:type="dxa"/>
              <w:left w:w="57" w:type="dxa"/>
              <w:bottom w:w="0" w:type="dxa"/>
              <w:right w:w="57" w:type="dxa"/>
            </w:tcMar>
            <w:vAlign w:val="center"/>
          </w:tcPr>
          <w:p w14:paraId="03AED22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PCT专利申请量（件）</w:t>
            </w:r>
          </w:p>
        </w:tc>
        <w:tc>
          <w:tcPr>
            <w:tcW w:w="632" w:type="pct"/>
            <w:tcBorders>
              <w:tl2br w:val="nil"/>
              <w:tr2bl w:val="nil"/>
            </w:tcBorders>
            <w:noWrap w:val="0"/>
            <w:tcMar>
              <w:top w:w="0" w:type="dxa"/>
              <w:left w:w="57" w:type="dxa"/>
              <w:bottom w:w="0" w:type="dxa"/>
              <w:right w:w="57" w:type="dxa"/>
            </w:tcMar>
            <w:vAlign w:val="center"/>
          </w:tcPr>
          <w:p w14:paraId="0343A84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5000</w:t>
            </w:r>
          </w:p>
        </w:tc>
        <w:tc>
          <w:tcPr>
            <w:tcW w:w="598" w:type="pct"/>
            <w:tcBorders>
              <w:tl2br w:val="nil"/>
              <w:tr2bl w:val="nil"/>
            </w:tcBorders>
            <w:noWrap w:val="0"/>
            <w:tcMar>
              <w:top w:w="0" w:type="dxa"/>
              <w:left w:w="57" w:type="dxa"/>
              <w:bottom w:w="0" w:type="dxa"/>
              <w:right w:w="57" w:type="dxa"/>
            </w:tcMar>
            <w:vAlign w:val="center"/>
          </w:tcPr>
          <w:p w14:paraId="28C007D7">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5000左右</w:t>
            </w:r>
          </w:p>
        </w:tc>
        <w:tc>
          <w:tcPr>
            <w:tcW w:w="691" w:type="pct"/>
            <w:tcBorders>
              <w:tl2br w:val="nil"/>
              <w:tr2bl w:val="nil"/>
            </w:tcBorders>
            <w:noWrap w:val="0"/>
            <w:tcMar>
              <w:top w:w="0" w:type="dxa"/>
              <w:left w:w="57" w:type="dxa"/>
              <w:bottom w:w="0" w:type="dxa"/>
              <w:right w:w="57" w:type="dxa"/>
            </w:tcMar>
            <w:vAlign w:val="center"/>
          </w:tcPr>
          <w:p w14:paraId="5C3E41B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5000左右</w:t>
            </w:r>
          </w:p>
        </w:tc>
        <w:tc>
          <w:tcPr>
            <w:tcW w:w="598" w:type="pct"/>
            <w:tcBorders>
              <w:tl2br w:val="nil"/>
              <w:tr2bl w:val="nil"/>
            </w:tcBorders>
            <w:noWrap w:val="0"/>
            <w:tcMar>
              <w:top w:w="0" w:type="dxa"/>
              <w:left w:w="57" w:type="dxa"/>
              <w:bottom w:w="0" w:type="dxa"/>
              <w:right w:w="57" w:type="dxa"/>
            </w:tcMar>
            <w:vAlign w:val="center"/>
          </w:tcPr>
          <w:p w14:paraId="618CDDF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5100左右</w:t>
            </w:r>
          </w:p>
        </w:tc>
        <w:tc>
          <w:tcPr>
            <w:tcW w:w="456" w:type="pct"/>
            <w:tcBorders>
              <w:tl2br w:val="nil"/>
              <w:tr2bl w:val="nil"/>
            </w:tcBorders>
            <w:noWrap w:val="0"/>
            <w:tcMar>
              <w:top w:w="0" w:type="dxa"/>
              <w:left w:w="57" w:type="dxa"/>
              <w:bottom w:w="0" w:type="dxa"/>
              <w:right w:w="57" w:type="dxa"/>
            </w:tcMar>
            <w:vAlign w:val="center"/>
          </w:tcPr>
          <w:p w14:paraId="5654995B">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5AA33F1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区市场</w:t>
            </w:r>
          </w:p>
          <w:p w14:paraId="097BFAED">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监管局</w:t>
            </w:r>
          </w:p>
        </w:tc>
      </w:tr>
      <w:tr w14:paraId="16CD38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DB562E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w:t>
            </w:r>
          </w:p>
        </w:tc>
        <w:tc>
          <w:tcPr>
            <w:tcW w:w="1087" w:type="pct"/>
            <w:gridSpan w:val="2"/>
            <w:tcBorders>
              <w:tl2br w:val="nil"/>
              <w:tr2bl w:val="nil"/>
            </w:tcBorders>
            <w:noWrap w:val="0"/>
            <w:tcMar>
              <w:top w:w="0" w:type="dxa"/>
              <w:left w:w="57" w:type="dxa"/>
              <w:bottom w:w="0" w:type="dxa"/>
              <w:right w:w="57" w:type="dxa"/>
            </w:tcMar>
            <w:vAlign w:val="center"/>
          </w:tcPr>
          <w:p w14:paraId="38075E6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数字经济增加值</w:t>
            </w:r>
          </w:p>
          <w:p w14:paraId="51C61F19">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增速（%）</w:t>
            </w:r>
          </w:p>
        </w:tc>
        <w:tc>
          <w:tcPr>
            <w:tcW w:w="632" w:type="pct"/>
            <w:tcBorders>
              <w:tl2br w:val="nil"/>
              <w:tr2bl w:val="nil"/>
            </w:tcBorders>
            <w:noWrap w:val="0"/>
            <w:tcMar>
              <w:top w:w="0" w:type="dxa"/>
              <w:left w:w="57" w:type="dxa"/>
              <w:bottom w:w="0" w:type="dxa"/>
              <w:right w:w="57" w:type="dxa"/>
            </w:tcMar>
            <w:vAlign w:val="center"/>
          </w:tcPr>
          <w:p w14:paraId="15403F6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p>
        </w:tc>
        <w:tc>
          <w:tcPr>
            <w:tcW w:w="598" w:type="pct"/>
            <w:tcBorders>
              <w:tl2br w:val="nil"/>
              <w:tr2bl w:val="nil"/>
            </w:tcBorders>
            <w:noWrap w:val="0"/>
            <w:tcMar>
              <w:top w:w="0" w:type="dxa"/>
              <w:left w:w="57" w:type="dxa"/>
              <w:bottom w:w="0" w:type="dxa"/>
              <w:right w:w="57" w:type="dxa"/>
            </w:tcMar>
            <w:vAlign w:val="center"/>
          </w:tcPr>
          <w:p w14:paraId="4CC2613E">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p>
        </w:tc>
        <w:tc>
          <w:tcPr>
            <w:tcW w:w="691" w:type="pct"/>
            <w:tcBorders>
              <w:tl2br w:val="nil"/>
              <w:tr2bl w:val="nil"/>
            </w:tcBorders>
            <w:noWrap w:val="0"/>
            <w:tcMar>
              <w:top w:w="0" w:type="dxa"/>
              <w:left w:w="57" w:type="dxa"/>
              <w:bottom w:w="0" w:type="dxa"/>
              <w:right w:w="57" w:type="dxa"/>
            </w:tcMar>
            <w:vAlign w:val="center"/>
          </w:tcPr>
          <w:p w14:paraId="281B587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市级分劈数据，未提供</w:t>
            </w:r>
          </w:p>
        </w:tc>
        <w:tc>
          <w:tcPr>
            <w:tcW w:w="598" w:type="pct"/>
            <w:tcBorders>
              <w:tl2br w:val="nil"/>
              <w:tr2bl w:val="nil"/>
            </w:tcBorders>
            <w:noWrap w:val="0"/>
            <w:tcMar>
              <w:top w:w="0" w:type="dxa"/>
              <w:left w:w="57" w:type="dxa"/>
              <w:bottom w:w="0" w:type="dxa"/>
              <w:right w:w="57" w:type="dxa"/>
            </w:tcMar>
            <w:vAlign w:val="center"/>
          </w:tcPr>
          <w:p w14:paraId="68253683">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8</w:t>
            </w:r>
          </w:p>
        </w:tc>
        <w:tc>
          <w:tcPr>
            <w:tcW w:w="456" w:type="pct"/>
            <w:tcBorders>
              <w:tl2br w:val="nil"/>
              <w:tr2bl w:val="nil"/>
            </w:tcBorders>
            <w:noWrap w:val="0"/>
            <w:tcMar>
              <w:top w:w="0" w:type="dxa"/>
              <w:left w:w="57" w:type="dxa"/>
              <w:bottom w:w="0" w:type="dxa"/>
              <w:right w:w="57" w:type="dxa"/>
            </w:tcMar>
            <w:vAlign w:val="center"/>
          </w:tcPr>
          <w:p w14:paraId="66E13747">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5F6F3E5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中关村</w:t>
            </w:r>
          </w:p>
          <w:p w14:paraId="5E9E6EB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科学城</w:t>
            </w:r>
          </w:p>
          <w:p w14:paraId="469C985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管委会</w:t>
            </w:r>
          </w:p>
        </w:tc>
      </w:tr>
      <w:tr w14:paraId="02A013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41A01EDA">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w:t>
            </w:r>
          </w:p>
        </w:tc>
        <w:tc>
          <w:tcPr>
            <w:tcW w:w="1087" w:type="pct"/>
            <w:gridSpan w:val="2"/>
            <w:tcBorders>
              <w:tl2br w:val="nil"/>
              <w:tr2bl w:val="nil"/>
            </w:tcBorders>
            <w:noWrap w:val="0"/>
            <w:tcMar>
              <w:top w:w="0" w:type="dxa"/>
              <w:left w:w="57" w:type="dxa"/>
              <w:bottom w:w="0" w:type="dxa"/>
              <w:right w:w="57" w:type="dxa"/>
            </w:tcMar>
            <w:vAlign w:val="center"/>
          </w:tcPr>
          <w:p w14:paraId="1A84C805">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实际利用外资额</w:t>
            </w:r>
          </w:p>
          <w:p w14:paraId="04F137A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（亿美元）</w:t>
            </w:r>
          </w:p>
        </w:tc>
        <w:tc>
          <w:tcPr>
            <w:tcW w:w="632" w:type="pct"/>
            <w:tcBorders>
              <w:tl2br w:val="nil"/>
              <w:tr2bl w:val="nil"/>
            </w:tcBorders>
            <w:noWrap w:val="0"/>
            <w:tcMar>
              <w:top w:w="0" w:type="dxa"/>
              <w:left w:w="57" w:type="dxa"/>
              <w:bottom w:w="0" w:type="dxa"/>
              <w:right w:w="57" w:type="dxa"/>
            </w:tcMar>
            <w:vAlign w:val="center"/>
          </w:tcPr>
          <w:p w14:paraId="2BFF3BA5">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达到市级</w:t>
            </w:r>
          </w:p>
          <w:p w14:paraId="1BA751D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要求</w:t>
            </w:r>
          </w:p>
        </w:tc>
        <w:tc>
          <w:tcPr>
            <w:tcW w:w="598" w:type="pct"/>
            <w:tcBorders>
              <w:tl2br w:val="nil"/>
              <w:tr2bl w:val="nil"/>
            </w:tcBorders>
            <w:noWrap w:val="0"/>
            <w:tcMar>
              <w:top w:w="0" w:type="dxa"/>
              <w:left w:w="57" w:type="dxa"/>
              <w:bottom w:w="0" w:type="dxa"/>
              <w:right w:w="57" w:type="dxa"/>
            </w:tcMar>
            <w:vAlign w:val="center"/>
          </w:tcPr>
          <w:p w14:paraId="39AA6AD0">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49</w:t>
            </w:r>
          </w:p>
        </w:tc>
        <w:tc>
          <w:tcPr>
            <w:tcW w:w="691" w:type="pct"/>
            <w:tcBorders>
              <w:tl2br w:val="nil"/>
              <w:tr2bl w:val="nil"/>
            </w:tcBorders>
            <w:noWrap w:val="0"/>
            <w:tcMar>
              <w:top w:w="0" w:type="dxa"/>
              <w:left w:w="57" w:type="dxa"/>
              <w:bottom w:w="0" w:type="dxa"/>
              <w:right w:w="57" w:type="dxa"/>
            </w:tcMar>
            <w:vAlign w:val="center"/>
          </w:tcPr>
          <w:p w14:paraId="1A29F664">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17.6</w:t>
            </w:r>
          </w:p>
        </w:tc>
        <w:tc>
          <w:tcPr>
            <w:tcW w:w="598" w:type="pct"/>
            <w:tcBorders>
              <w:tl2br w:val="nil"/>
              <w:tr2bl w:val="nil"/>
            </w:tcBorders>
            <w:noWrap w:val="0"/>
            <w:tcMar>
              <w:top w:w="0" w:type="dxa"/>
              <w:left w:w="57" w:type="dxa"/>
              <w:bottom w:w="0" w:type="dxa"/>
              <w:right w:w="57" w:type="dxa"/>
            </w:tcMar>
            <w:vAlign w:val="center"/>
          </w:tcPr>
          <w:p w14:paraId="4D4AD9DD">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达到市级</w:t>
            </w:r>
          </w:p>
          <w:p w14:paraId="1999F3FD">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要求</w:t>
            </w:r>
          </w:p>
        </w:tc>
        <w:tc>
          <w:tcPr>
            <w:tcW w:w="456" w:type="pct"/>
            <w:tcBorders>
              <w:tl2br w:val="nil"/>
              <w:tr2bl w:val="nil"/>
            </w:tcBorders>
            <w:noWrap w:val="0"/>
            <w:tcMar>
              <w:top w:w="0" w:type="dxa"/>
              <w:left w:w="57" w:type="dxa"/>
              <w:bottom w:w="0" w:type="dxa"/>
              <w:right w:w="57" w:type="dxa"/>
            </w:tcMar>
            <w:vAlign w:val="center"/>
          </w:tcPr>
          <w:p w14:paraId="265858EA">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0224DB7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区商务局</w:t>
            </w:r>
          </w:p>
        </w:tc>
      </w:tr>
      <w:tr w14:paraId="3CEC50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24A8AD2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12</w:t>
            </w:r>
          </w:p>
        </w:tc>
        <w:tc>
          <w:tcPr>
            <w:tcW w:w="1087" w:type="pct"/>
            <w:gridSpan w:val="2"/>
            <w:tcBorders>
              <w:tl2br w:val="nil"/>
              <w:tr2bl w:val="nil"/>
            </w:tcBorders>
            <w:noWrap w:val="0"/>
            <w:tcMar>
              <w:top w:w="0" w:type="dxa"/>
              <w:left w:w="57" w:type="dxa"/>
              <w:bottom w:w="0" w:type="dxa"/>
              <w:right w:w="57" w:type="dxa"/>
            </w:tcMar>
            <w:vAlign w:val="center"/>
          </w:tcPr>
          <w:p w14:paraId="11DA2E92">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自贸区企业收入</w:t>
            </w:r>
          </w:p>
          <w:p w14:paraId="344F713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增速（%）</w:t>
            </w:r>
          </w:p>
        </w:tc>
        <w:tc>
          <w:tcPr>
            <w:tcW w:w="632" w:type="pct"/>
            <w:tcBorders>
              <w:tl2br w:val="nil"/>
              <w:tr2bl w:val="nil"/>
            </w:tcBorders>
            <w:noWrap w:val="0"/>
            <w:tcMar>
              <w:top w:w="0" w:type="dxa"/>
              <w:left w:w="57" w:type="dxa"/>
              <w:bottom w:w="0" w:type="dxa"/>
              <w:right w:w="57" w:type="dxa"/>
            </w:tcMar>
            <w:vAlign w:val="center"/>
          </w:tcPr>
          <w:p w14:paraId="06BBB64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15</w:t>
            </w:r>
          </w:p>
        </w:tc>
        <w:tc>
          <w:tcPr>
            <w:tcW w:w="598" w:type="pct"/>
            <w:tcBorders>
              <w:tl2br w:val="nil"/>
              <w:tr2bl w:val="nil"/>
            </w:tcBorders>
            <w:noWrap w:val="0"/>
            <w:tcMar>
              <w:top w:w="0" w:type="dxa"/>
              <w:left w:w="57" w:type="dxa"/>
              <w:bottom w:w="0" w:type="dxa"/>
              <w:right w:w="57" w:type="dxa"/>
            </w:tcMar>
            <w:vAlign w:val="center"/>
          </w:tcPr>
          <w:p w14:paraId="6B31EDFD">
            <w:pPr>
              <w:keepNext w:val="0"/>
              <w:keepLines w:val="0"/>
              <w:pageBreakBefore w:val="0"/>
              <w:kinsoku/>
              <w:wordWrap/>
              <w:overflowPunct/>
              <w:topLinePunct w:val="0"/>
              <w:autoSpaceDE/>
              <w:autoSpaceDN/>
              <w:bidi w:val="0"/>
              <w:spacing w:line="29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w:t>
            </w:r>
          </w:p>
        </w:tc>
        <w:tc>
          <w:tcPr>
            <w:tcW w:w="691" w:type="pct"/>
            <w:tcBorders>
              <w:tl2br w:val="nil"/>
              <w:tr2bl w:val="nil"/>
            </w:tcBorders>
            <w:noWrap w:val="0"/>
            <w:tcMar>
              <w:top w:w="0" w:type="dxa"/>
              <w:left w:w="57" w:type="dxa"/>
              <w:bottom w:w="0" w:type="dxa"/>
              <w:right w:w="57" w:type="dxa"/>
            </w:tcMar>
            <w:vAlign w:val="center"/>
          </w:tcPr>
          <w:p w14:paraId="611EC260">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15</w:t>
            </w:r>
          </w:p>
        </w:tc>
        <w:tc>
          <w:tcPr>
            <w:tcW w:w="598" w:type="pct"/>
            <w:tcBorders>
              <w:tl2br w:val="nil"/>
              <w:tr2bl w:val="nil"/>
            </w:tcBorders>
            <w:noWrap w:val="0"/>
            <w:tcMar>
              <w:top w:w="0" w:type="dxa"/>
              <w:left w:w="57" w:type="dxa"/>
              <w:bottom w:w="0" w:type="dxa"/>
              <w:right w:w="57" w:type="dxa"/>
            </w:tcMar>
            <w:vAlign w:val="center"/>
          </w:tcPr>
          <w:p w14:paraId="5EECB947">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五年累计均值</w:t>
            </w:r>
            <w:r>
              <w:rPr>
                <w:rFonts w:hint="eastAsia" w:ascii="宋体" w:hAnsi="宋体" w:eastAsia="宋体" w:cs="宋体"/>
                <w:color w:val="000000" w:themeColor="text1"/>
                <w:kern w:val="0"/>
                <w:sz w:val="21"/>
                <w:szCs w:val="21"/>
                <w:highlight w:val="none"/>
                <w14:textFill>
                  <w14:solidFill>
                    <w14:schemeClr w14:val="tx1"/>
                  </w14:solidFill>
                </w14:textFill>
              </w:rPr>
              <w:t>15</w:t>
            </w:r>
          </w:p>
        </w:tc>
        <w:tc>
          <w:tcPr>
            <w:tcW w:w="456" w:type="pct"/>
            <w:tcBorders>
              <w:tl2br w:val="nil"/>
              <w:tr2bl w:val="nil"/>
            </w:tcBorders>
            <w:noWrap w:val="0"/>
            <w:tcMar>
              <w:top w:w="0" w:type="dxa"/>
              <w:left w:w="57" w:type="dxa"/>
              <w:bottom w:w="0" w:type="dxa"/>
              <w:right w:w="57" w:type="dxa"/>
            </w:tcMar>
            <w:vAlign w:val="center"/>
          </w:tcPr>
          <w:p w14:paraId="6A52D348">
            <w:pPr>
              <w:keepNext w:val="0"/>
              <w:keepLines w:val="0"/>
              <w:pageBreakBefore w:val="0"/>
              <w:widowControl/>
              <w:kinsoku/>
              <w:wordWrap/>
              <w:overflowPunct/>
              <w:topLinePunct w:val="0"/>
              <w:autoSpaceDE/>
              <w:autoSpaceDN/>
              <w:bidi w:val="0"/>
              <w:spacing w:line="290" w:lineRule="exact"/>
              <w:jc w:val="center"/>
              <w:textAlignment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34" w:type="dxa"/>
              <w:left w:w="57" w:type="dxa"/>
              <w:bottom w:w="34" w:type="dxa"/>
              <w:right w:w="57" w:type="dxa"/>
            </w:tcMar>
            <w:vAlign w:val="center"/>
          </w:tcPr>
          <w:p w14:paraId="3FF70A11">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spacing w:val="-6"/>
                <w:kern w:val="0"/>
                <w:sz w:val="21"/>
                <w:szCs w:val="21"/>
                <w:highlight w:val="none"/>
                <w14:textFill>
                  <w14:solidFill>
                    <w14:schemeClr w14:val="tx1"/>
                  </w14:solidFill>
                </w14:textFill>
              </w:rPr>
              <w:t>区商务局、中关村科学城</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管委会</w:t>
            </w:r>
          </w:p>
        </w:tc>
      </w:tr>
      <w:tr w14:paraId="61D143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C14FA60">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13</w:t>
            </w:r>
          </w:p>
        </w:tc>
        <w:tc>
          <w:tcPr>
            <w:tcW w:w="1087" w:type="pct"/>
            <w:gridSpan w:val="2"/>
            <w:tcBorders>
              <w:tl2br w:val="nil"/>
              <w:tr2bl w:val="nil"/>
            </w:tcBorders>
            <w:noWrap w:val="0"/>
            <w:tcMar>
              <w:top w:w="0" w:type="dxa"/>
              <w:left w:w="57" w:type="dxa"/>
              <w:bottom w:w="0" w:type="dxa"/>
              <w:right w:w="57" w:type="dxa"/>
            </w:tcMar>
            <w:vAlign w:val="center"/>
          </w:tcPr>
          <w:p w14:paraId="2E1C0B4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细颗粒物浓度</w:t>
            </w:r>
          </w:p>
          <w:p w14:paraId="19F5904F">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（微克/立方米）</w:t>
            </w:r>
          </w:p>
        </w:tc>
        <w:tc>
          <w:tcPr>
            <w:tcW w:w="632" w:type="pct"/>
            <w:tcBorders>
              <w:tl2br w:val="nil"/>
              <w:tr2bl w:val="nil"/>
            </w:tcBorders>
            <w:noWrap w:val="0"/>
            <w:tcMar>
              <w:top w:w="0" w:type="dxa"/>
              <w:left w:w="57" w:type="dxa"/>
              <w:bottom w:w="0" w:type="dxa"/>
              <w:right w:w="57" w:type="dxa"/>
            </w:tcMar>
            <w:vAlign w:val="center"/>
          </w:tcPr>
          <w:p w14:paraId="26205CFC">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32</w:t>
            </w:r>
          </w:p>
        </w:tc>
        <w:tc>
          <w:tcPr>
            <w:tcW w:w="598" w:type="pct"/>
            <w:tcBorders>
              <w:tl2br w:val="nil"/>
              <w:tr2bl w:val="nil"/>
            </w:tcBorders>
            <w:noWrap w:val="0"/>
            <w:tcMar>
              <w:top w:w="0" w:type="dxa"/>
              <w:left w:w="57" w:type="dxa"/>
              <w:bottom w:w="0" w:type="dxa"/>
              <w:right w:w="57" w:type="dxa"/>
            </w:tcMar>
            <w:vAlign w:val="center"/>
          </w:tcPr>
          <w:p w14:paraId="24DF42A4">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32</w:t>
            </w:r>
          </w:p>
        </w:tc>
        <w:tc>
          <w:tcPr>
            <w:tcW w:w="691" w:type="pct"/>
            <w:tcBorders>
              <w:tl2br w:val="nil"/>
              <w:tr2bl w:val="nil"/>
            </w:tcBorders>
            <w:noWrap w:val="0"/>
            <w:tcMar>
              <w:top w:w="0" w:type="dxa"/>
              <w:left w:w="57" w:type="dxa"/>
              <w:bottom w:w="0" w:type="dxa"/>
              <w:right w:w="57" w:type="dxa"/>
            </w:tcMar>
            <w:vAlign w:val="center"/>
          </w:tcPr>
          <w:p w14:paraId="4F3B6C9F">
            <w:pPr>
              <w:keepNext w:val="0"/>
              <w:keepLines w:val="0"/>
              <w:pageBreakBefore w:val="0"/>
              <w:widowControl/>
              <w:kinsoku/>
              <w:wordWrap/>
              <w:overflowPunct/>
              <w:topLinePunct w:val="0"/>
              <w:autoSpaceDE/>
              <w:autoSpaceDN/>
              <w:bidi w:val="0"/>
              <w:adjustRightInd w:val="0"/>
              <w:snapToGrid w:val="0"/>
              <w:spacing w:line="290" w:lineRule="exac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30.6</w:t>
            </w:r>
          </w:p>
        </w:tc>
        <w:tc>
          <w:tcPr>
            <w:tcW w:w="598" w:type="pct"/>
            <w:tcBorders>
              <w:tl2br w:val="nil"/>
              <w:tr2bl w:val="nil"/>
            </w:tcBorders>
            <w:noWrap w:val="0"/>
            <w:tcMar>
              <w:top w:w="0" w:type="dxa"/>
              <w:left w:w="57" w:type="dxa"/>
              <w:bottom w:w="0" w:type="dxa"/>
              <w:right w:w="57" w:type="dxa"/>
            </w:tcMar>
            <w:vAlign w:val="center"/>
          </w:tcPr>
          <w:p w14:paraId="6EE70047">
            <w:pPr>
              <w:keepNext w:val="0"/>
              <w:keepLines w:val="0"/>
              <w:pageBreakBefore w:val="0"/>
              <w:widowControl/>
              <w:kinsoku/>
              <w:wordWrap/>
              <w:overflowPunct/>
              <w:topLinePunct w:val="0"/>
              <w:autoSpaceDE/>
              <w:autoSpaceDN/>
              <w:bidi w:val="0"/>
              <w:adjustRightInd w:val="0"/>
              <w:snapToGrid w:val="0"/>
              <w:spacing w:line="290" w:lineRule="exac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32</w:t>
            </w:r>
          </w:p>
        </w:tc>
        <w:tc>
          <w:tcPr>
            <w:tcW w:w="456" w:type="pct"/>
            <w:tcBorders>
              <w:tl2br w:val="nil"/>
              <w:tr2bl w:val="nil"/>
            </w:tcBorders>
            <w:noWrap w:val="0"/>
            <w:tcMar>
              <w:top w:w="0" w:type="dxa"/>
              <w:left w:w="57" w:type="dxa"/>
              <w:bottom w:w="0" w:type="dxa"/>
              <w:right w:w="57" w:type="dxa"/>
            </w:tcMar>
            <w:vAlign w:val="center"/>
          </w:tcPr>
          <w:p w14:paraId="6A899A9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34" w:type="dxa"/>
              <w:left w:w="57" w:type="dxa"/>
              <w:bottom w:w="34" w:type="dxa"/>
              <w:right w:w="57" w:type="dxa"/>
            </w:tcMar>
            <w:vAlign w:val="center"/>
          </w:tcPr>
          <w:p w14:paraId="57B4B928">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区生态</w:t>
            </w:r>
          </w:p>
          <w:p w14:paraId="2BF5C946">
            <w:pPr>
              <w:keepNext w:val="0"/>
              <w:keepLines w:val="0"/>
              <w:pageBreakBefore w:val="0"/>
              <w:widowControl/>
              <w:kinsoku/>
              <w:wordWrap/>
              <w:overflowPunct/>
              <w:topLinePunct w:val="0"/>
              <w:autoSpaceDE/>
              <w:autoSpaceDN/>
              <w:bidi w:val="0"/>
              <w:adjustRightInd w:val="0"/>
              <w:snapToGrid w:val="0"/>
              <w:spacing w:line="29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环境局</w:t>
            </w:r>
          </w:p>
        </w:tc>
      </w:tr>
      <w:tr w14:paraId="67E277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5E8BBFC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14</w:t>
            </w:r>
          </w:p>
        </w:tc>
        <w:tc>
          <w:tcPr>
            <w:tcW w:w="1087" w:type="pct"/>
            <w:gridSpan w:val="2"/>
            <w:tcBorders>
              <w:tl2br w:val="nil"/>
              <w:tr2bl w:val="nil"/>
            </w:tcBorders>
            <w:noWrap w:val="0"/>
            <w:tcMar>
              <w:top w:w="0" w:type="dxa"/>
              <w:left w:w="57" w:type="dxa"/>
              <w:bottom w:w="0" w:type="dxa"/>
              <w:right w:w="57" w:type="dxa"/>
            </w:tcMar>
            <w:vAlign w:val="center"/>
          </w:tcPr>
          <w:p w14:paraId="0388A86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地表水环境质量目标完成情况（%）</w:t>
            </w:r>
          </w:p>
        </w:tc>
        <w:tc>
          <w:tcPr>
            <w:tcW w:w="632" w:type="pct"/>
            <w:tcBorders>
              <w:tl2br w:val="nil"/>
              <w:tr2bl w:val="nil"/>
            </w:tcBorders>
            <w:noWrap w:val="0"/>
            <w:tcMar>
              <w:top w:w="0" w:type="dxa"/>
              <w:left w:w="57" w:type="dxa"/>
              <w:bottom w:w="0" w:type="dxa"/>
              <w:right w:w="57" w:type="dxa"/>
            </w:tcMar>
            <w:vAlign w:val="center"/>
          </w:tcPr>
          <w:p w14:paraId="420879C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优良水体比例</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75%</w:t>
            </w:r>
          </w:p>
        </w:tc>
        <w:tc>
          <w:tcPr>
            <w:tcW w:w="598" w:type="pct"/>
            <w:tcBorders>
              <w:tl2br w:val="nil"/>
              <w:tr2bl w:val="nil"/>
            </w:tcBorders>
            <w:noWrap w:val="0"/>
            <w:tcMar>
              <w:top w:w="0" w:type="dxa"/>
              <w:left w:w="57" w:type="dxa"/>
              <w:bottom w:w="0" w:type="dxa"/>
              <w:right w:w="57" w:type="dxa"/>
            </w:tcMar>
            <w:vAlign w:val="center"/>
          </w:tcPr>
          <w:p w14:paraId="4E2869D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优良水体比例</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75%</w:t>
            </w:r>
          </w:p>
        </w:tc>
        <w:tc>
          <w:tcPr>
            <w:tcW w:w="691" w:type="pct"/>
            <w:tcBorders>
              <w:tl2br w:val="nil"/>
              <w:tr2bl w:val="nil"/>
            </w:tcBorders>
            <w:noWrap w:val="0"/>
            <w:tcMar>
              <w:top w:w="0" w:type="dxa"/>
              <w:left w:w="57" w:type="dxa"/>
              <w:bottom w:w="0" w:type="dxa"/>
              <w:right w:w="57" w:type="dxa"/>
            </w:tcMar>
            <w:vAlign w:val="center"/>
          </w:tcPr>
          <w:p w14:paraId="5CF8E95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优良水体比例100%</w:t>
            </w:r>
          </w:p>
        </w:tc>
        <w:tc>
          <w:tcPr>
            <w:tcW w:w="598" w:type="pct"/>
            <w:tcBorders>
              <w:tl2br w:val="nil"/>
              <w:tr2bl w:val="nil"/>
            </w:tcBorders>
            <w:noWrap w:val="0"/>
            <w:tcMar>
              <w:top w:w="0" w:type="dxa"/>
              <w:left w:w="57" w:type="dxa"/>
              <w:bottom w:w="0" w:type="dxa"/>
              <w:right w:w="57" w:type="dxa"/>
            </w:tcMar>
            <w:vAlign w:val="center"/>
          </w:tcPr>
          <w:p w14:paraId="1ADA289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优良水体比例</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75%</w:t>
            </w:r>
          </w:p>
        </w:tc>
        <w:tc>
          <w:tcPr>
            <w:tcW w:w="456" w:type="pct"/>
            <w:tcBorders>
              <w:tl2br w:val="nil"/>
              <w:tr2bl w:val="nil"/>
            </w:tcBorders>
            <w:noWrap w:val="0"/>
            <w:tcMar>
              <w:top w:w="0" w:type="dxa"/>
              <w:left w:w="57" w:type="dxa"/>
              <w:bottom w:w="0" w:type="dxa"/>
              <w:right w:w="57" w:type="dxa"/>
            </w:tcMar>
            <w:vAlign w:val="center"/>
          </w:tcPr>
          <w:p w14:paraId="2F0590A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2" w:type="dxa"/>
              <w:left w:w="57" w:type="dxa"/>
              <w:bottom w:w="62" w:type="dxa"/>
              <w:right w:w="57" w:type="dxa"/>
            </w:tcMar>
            <w:vAlign w:val="center"/>
          </w:tcPr>
          <w:p w14:paraId="1F9C974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区水务局、</w:t>
            </w:r>
          </w:p>
          <w:p w14:paraId="06D941E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区生态</w:t>
            </w:r>
          </w:p>
          <w:p w14:paraId="26691F3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环境局</w:t>
            </w:r>
          </w:p>
        </w:tc>
      </w:tr>
      <w:tr w14:paraId="6A7F09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5A8879B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15</w:t>
            </w:r>
          </w:p>
        </w:tc>
        <w:tc>
          <w:tcPr>
            <w:tcW w:w="1087" w:type="pct"/>
            <w:gridSpan w:val="2"/>
            <w:tcBorders>
              <w:tl2br w:val="nil"/>
              <w:tr2bl w:val="nil"/>
            </w:tcBorders>
            <w:noWrap w:val="0"/>
            <w:tcMar>
              <w:top w:w="0" w:type="dxa"/>
              <w:left w:w="57" w:type="dxa"/>
              <w:bottom w:w="0" w:type="dxa"/>
              <w:right w:w="57" w:type="dxa"/>
            </w:tcMar>
            <w:vAlign w:val="center"/>
          </w:tcPr>
          <w:p w14:paraId="3C0C54F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生活垃圾回收</w:t>
            </w:r>
          </w:p>
          <w:p w14:paraId="40D5172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利用率（%）</w:t>
            </w:r>
          </w:p>
        </w:tc>
        <w:tc>
          <w:tcPr>
            <w:tcW w:w="632" w:type="pct"/>
            <w:tcBorders>
              <w:tl2br w:val="nil"/>
              <w:tr2bl w:val="nil"/>
            </w:tcBorders>
            <w:noWrap w:val="0"/>
            <w:tcMar>
              <w:top w:w="0" w:type="dxa"/>
              <w:left w:w="57" w:type="dxa"/>
              <w:bottom w:w="0" w:type="dxa"/>
              <w:right w:w="57" w:type="dxa"/>
            </w:tcMar>
            <w:vAlign w:val="center"/>
          </w:tcPr>
          <w:p w14:paraId="481F7F6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40</w:t>
            </w:r>
          </w:p>
        </w:tc>
        <w:tc>
          <w:tcPr>
            <w:tcW w:w="598" w:type="pct"/>
            <w:tcBorders>
              <w:tl2br w:val="nil"/>
              <w:tr2bl w:val="nil"/>
            </w:tcBorders>
            <w:noWrap w:val="0"/>
            <w:tcMar>
              <w:top w:w="0" w:type="dxa"/>
              <w:left w:w="57" w:type="dxa"/>
              <w:bottom w:w="0" w:type="dxa"/>
              <w:right w:w="57" w:type="dxa"/>
            </w:tcMar>
            <w:vAlign w:val="center"/>
          </w:tcPr>
          <w:p w14:paraId="53DD09B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40</w:t>
            </w:r>
          </w:p>
        </w:tc>
        <w:tc>
          <w:tcPr>
            <w:tcW w:w="691" w:type="pct"/>
            <w:tcBorders>
              <w:tl2br w:val="nil"/>
              <w:tr2bl w:val="nil"/>
            </w:tcBorders>
            <w:noWrap w:val="0"/>
            <w:tcMar>
              <w:top w:w="0" w:type="dxa"/>
              <w:left w:w="57" w:type="dxa"/>
              <w:bottom w:w="0" w:type="dxa"/>
              <w:right w:w="57" w:type="dxa"/>
            </w:tcMar>
            <w:vAlign w:val="center"/>
          </w:tcPr>
          <w:p w14:paraId="5E08AF0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47</w:t>
            </w:r>
          </w:p>
        </w:tc>
        <w:tc>
          <w:tcPr>
            <w:tcW w:w="598" w:type="pct"/>
            <w:tcBorders>
              <w:tl2br w:val="nil"/>
              <w:tr2bl w:val="nil"/>
            </w:tcBorders>
            <w:noWrap w:val="0"/>
            <w:tcMar>
              <w:top w:w="0" w:type="dxa"/>
              <w:left w:w="57" w:type="dxa"/>
              <w:bottom w:w="0" w:type="dxa"/>
              <w:right w:w="57" w:type="dxa"/>
            </w:tcMar>
            <w:vAlign w:val="center"/>
          </w:tcPr>
          <w:p w14:paraId="7F2AE2C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47</w:t>
            </w:r>
          </w:p>
        </w:tc>
        <w:tc>
          <w:tcPr>
            <w:tcW w:w="456" w:type="pct"/>
            <w:tcBorders>
              <w:tl2br w:val="nil"/>
              <w:tr2bl w:val="nil"/>
            </w:tcBorders>
            <w:noWrap w:val="0"/>
            <w:tcMar>
              <w:top w:w="0" w:type="dxa"/>
              <w:left w:w="57" w:type="dxa"/>
              <w:bottom w:w="0" w:type="dxa"/>
              <w:right w:w="57" w:type="dxa"/>
            </w:tcMar>
            <w:vAlign w:val="center"/>
          </w:tcPr>
          <w:p w14:paraId="69493CF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2" w:type="dxa"/>
              <w:left w:w="57" w:type="dxa"/>
              <w:bottom w:w="62" w:type="dxa"/>
              <w:right w:w="57" w:type="dxa"/>
            </w:tcMar>
            <w:vAlign w:val="center"/>
          </w:tcPr>
          <w:p w14:paraId="7C0DFFE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区城市</w:t>
            </w:r>
          </w:p>
          <w:p w14:paraId="4096613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管理委</w:t>
            </w:r>
          </w:p>
        </w:tc>
      </w:tr>
      <w:tr w14:paraId="3BDC83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7AA99FF">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16</w:t>
            </w:r>
          </w:p>
        </w:tc>
        <w:tc>
          <w:tcPr>
            <w:tcW w:w="1087" w:type="pct"/>
            <w:gridSpan w:val="2"/>
            <w:tcBorders>
              <w:tl2br w:val="nil"/>
              <w:tr2bl w:val="nil"/>
            </w:tcBorders>
            <w:noWrap w:val="0"/>
            <w:tcMar>
              <w:top w:w="0" w:type="dxa"/>
              <w:left w:w="57" w:type="dxa"/>
              <w:bottom w:w="0" w:type="dxa"/>
              <w:right w:w="57" w:type="dxa"/>
            </w:tcMar>
            <w:vAlign w:val="center"/>
          </w:tcPr>
          <w:p w14:paraId="6EE0602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森林覆盖率（%）</w:t>
            </w:r>
          </w:p>
        </w:tc>
        <w:tc>
          <w:tcPr>
            <w:tcW w:w="632" w:type="pct"/>
            <w:tcBorders>
              <w:tl2br w:val="nil"/>
              <w:tr2bl w:val="nil"/>
            </w:tcBorders>
            <w:noWrap w:val="0"/>
            <w:tcMar>
              <w:top w:w="0" w:type="dxa"/>
              <w:left w:w="57" w:type="dxa"/>
              <w:bottom w:w="0" w:type="dxa"/>
              <w:right w:w="57" w:type="dxa"/>
            </w:tcMar>
            <w:vAlign w:val="center"/>
          </w:tcPr>
          <w:p w14:paraId="6EC01A2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35.5</w:t>
            </w:r>
          </w:p>
        </w:tc>
        <w:tc>
          <w:tcPr>
            <w:tcW w:w="598" w:type="pct"/>
            <w:tcBorders>
              <w:tl2br w:val="nil"/>
              <w:tr2bl w:val="nil"/>
            </w:tcBorders>
            <w:noWrap w:val="0"/>
            <w:tcMar>
              <w:top w:w="0" w:type="dxa"/>
              <w:left w:w="57" w:type="dxa"/>
              <w:bottom w:w="0" w:type="dxa"/>
              <w:right w:w="57" w:type="dxa"/>
            </w:tcMar>
            <w:vAlign w:val="center"/>
          </w:tcPr>
          <w:p w14:paraId="42972A8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35.5</w:t>
            </w:r>
          </w:p>
        </w:tc>
        <w:tc>
          <w:tcPr>
            <w:tcW w:w="691" w:type="pct"/>
            <w:tcBorders>
              <w:tl2br w:val="nil"/>
              <w:tr2bl w:val="nil"/>
            </w:tcBorders>
            <w:noWrap w:val="0"/>
            <w:tcMar>
              <w:top w:w="0" w:type="dxa"/>
              <w:left w:w="57" w:type="dxa"/>
              <w:bottom w:w="0" w:type="dxa"/>
              <w:right w:w="57" w:type="dxa"/>
            </w:tcMar>
            <w:vAlign w:val="center"/>
          </w:tcPr>
          <w:p w14:paraId="54363D6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35.5</w:t>
            </w:r>
          </w:p>
        </w:tc>
        <w:tc>
          <w:tcPr>
            <w:tcW w:w="598" w:type="pct"/>
            <w:tcBorders>
              <w:tl2br w:val="nil"/>
              <w:tr2bl w:val="nil"/>
            </w:tcBorders>
            <w:noWrap w:val="0"/>
            <w:tcMar>
              <w:top w:w="0" w:type="dxa"/>
              <w:left w:w="57" w:type="dxa"/>
              <w:bottom w:w="0" w:type="dxa"/>
              <w:right w:w="57" w:type="dxa"/>
            </w:tcMar>
            <w:vAlign w:val="center"/>
          </w:tcPr>
          <w:p w14:paraId="17A9F61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35.5</w:t>
            </w:r>
          </w:p>
        </w:tc>
        <w:tc>
          <w:tcPr>
            <w:tcW w:w="456" w:type="pct"/>
            <w:tcBorders>
              <w:tl2br w:val="nil"/>
              <w:tr2bl w:val="nil"/>
            </w:tcBorders>
            <w:noWrap w:val="0"/>
            <w:tcMar>
              <w:top w:w="0" w:type="dxa"/>
              <w:left w:w="57" w:type="dxa"/>
              <w:bottom w:w="0" w:type="dxa"/>
              <w:right w:w="57" w:type="dxa"/>
            </w:tcMar>
            <w:vAlign w:val="center"/>
          </w:tcPr>
          <w:p w14:paraId="625282F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2" w:type="dxa"/>
              <w:left w:w="57" w:type="dxa"/>
              <w:bottom w:w="62" w:type="dxa"/>
              <w:right w:w="57" w:type="dxa"/>
            </w:tcMar>
            <w:vAlign w:val="center"/>
          </w:tcPr>
          <w:p w14:paraId="6349FEA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区园林</w:t>
            </w:r>
          </w:p>
          <w:p w14:paraId="417DE8B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绿化局</w:t>
            </w:r>
          </w:p>
        </w:tc>
      </w:tr>
      <w:tr w14:paraId="5DB362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569F9DE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17</w:t>
            </w:r>
          </w:p>
        </w:tc>
        <w:tc>
          <w:tcPr>
            <w:tcW w:w="1087" w:type="pct"/>
            <w:gridSpan w:val="2"/>
            <w:tcBorders>
              <w:tl2br w:val="nil"/>
              <w:tr2bl w:val="nil"/>
            </w:tcBorders>
            <w:noWrap w:val="0"/>
            <w:tcMar>
              <w:top w:w="0" w:type="dxa"/>
              <w:left w:w="57" w:type="dxa"/>
              <w:bottom w:w="0" w:type="dxa"/>
              <w:right w:w="57" w:type="dxa"/>
            </w:tcMar>
            <w:vAlign w:val="center"/>
          </w:tcPr>
          <w:p w14:paraId="0D0BE31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单位地区生产总值能耗降幅（%）</w:t>
            </w:r>
          </w:p>
        </w:tc>
        <w:tc>
          <w:tcPr>
            <w:tcW w:w="632" w:type="pct"/>
            <w:tcBorders>
              <w:tl2br w:val="nil"/>
              <w:tr2bl w:val="nil"/>
            </w:tcBorders>
            <w:noWrap w:val="0"/>
            <w:tcMar>
              <w:top w:w="0" w:type="dxa"/>
              <w:left w:w="57" w:type="dxa"/>
              <w:bottom w:w="0" w:type="dxa"/>
              <w:right w:w="57" w:type="dxa"/>
            </w:tcMar>
            <w:vAlign w:val="center"/>
          </w:tcPr>
          <w:p w14:paraId="48CBA23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累计14.5</w:t>
            </w:r>
          </w:p>
        </w:tc>
        <w:tc>
          <w:tcPr>
            <w:tcW w:w="598" w:type="pct"/>
            <w:tcBorders>
              <w:tl2br w:val="nil"/>
              <w:tr2bl w:val="nil"/>
            </w:tcBorders>
            <w:noWrap w:val="0"/>
            <w:tcMar>
              <w:top w:w="0" w:type="dxa"/>
              <w:left w:w="57" w:type="dxa"/>
              <w:bottom w:w="0" w:type="dxa"/>
              <w:right w:w="57" w:type="dxa"/>
            </w:tcMar>
            <w:vAlign w:val="center"/>
          </w:tcPr>
          <w:p w14:paraId="3C22C7E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五年</w:t>
            </w:r>
            <w:r>
              <w:rPr>
                <w:rFonts w:hint="eastAsia" w:ascii="宋体" w:hAnsi="宋体" w:eastAsia="宋体" w:cs="宋体"/>
                <w:color w:val="000000" w:themeColor="text1"/>
                <w:kern w:val="0"/>
                <w:sz w:val="21"/>
                <w:szCs w:val="21"/>
                <w:highlight w:val="none"/>
                <w14:textFill>
                  <w14:solidFill>
                    <w14:schemeClr w14:val="tx1"/>
                  </w14:solidFill>
                </w14:textFill>
              </w:rPr>
              <w:t>累计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下降</w:t>
            </w:r>
            <w:r>
              <w:rPr>
                <w:rFonts w:hint="eastAsia" w:ascii="宋体" w:hAnsi="宋体" w:eastAsia="宋体" w:cs="宋体"/>
                <w:color w:val="000000" w:themeColor="text1"/>
                <w:kern w:val="0"/>
                <w:sz w:val="21"/>
                <w:szCs w:val="21"/>
                <w:highlight w:val="none"/>
                <w14:textFill>
                  <w14:solidFill>
                    <w14:schemeClr w14:val="tx1"/>
                  </w14:solidFill>
                </w14:textFill>
              </w:rPr>
              <w:t>14.5</w:t>
            </w:r>
          </w:p>
        </w:tc>
        <w:tc>
          <w:tcPr>
            <w:tcW w:w="691" w:type="pct"/>
            <w:tcBorders>
              <w:tl2br w:val="nil"/>
              <w:tr2bl w:val="nil"/>
            </w:tcBorders>
            <w:noWrap w:val="0"/>
            <w:tcMar>
              <w:top w:w="0" w:type="dxa"/>
              <w:left w:w="28" w:type="dxa"/>
              <w:bottom w:w="0" w:type="dxa"/>
              <w:right w:w="28" w:type="dxa"/>
            </w:tcMar>
            <w:vAlign w:val="center"/>
          </w:tcPr>
          <w:p w14:paraId="5B1C53B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比2020年下降12.8%</w:t>
            </w:r>
          </w:p>
        </w:tc>
        <w:tc>
          <w:tcPr>
            <w:tcW w:w="598" w:type="pct"/>
            <w:tcBorders>
              <w:tl2br w:val="nil"/>
              <w:tr2bl w:val="nil"/>
            </w:tcBorders>
            <w:noWrap w:val="0"/>
            <w:tcMar>
              <w:top w:w="0" w:type="dxa"/>
              <w:left w:w="57" w:type="dxa"/>
              <w:bottom w:w="0" w:type="dxa"/>
              <w:right w:w="57" w:type="dxa"/>
            </w:tcMar>
            <w:vAlign w:val="center"/>
          </w:tcPr>
          <w:p w14:paraId="774A2FF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五年下降14.5以上</w:t>
            </w:r>
          </w:p>
        </w:tc>
        <w:tc>
          <w:tcPr>
            <w:tcW w:w="456" w:type="pct"/>
            <w:tcBorders>
              <w:tl2br w:val="nil"/>
              <w:tr2bl w:val="nil"/>
            </w:tcBorders>
            <w:noWrap w:val="0"/>
            <w:tcMar>
              <w:top w:w="0" w:type="dxa"/>
              <w:left w:w="57" w:type="dxa"/>
              <w:bottom w:w="0" w:type="dxa"/>
              <w:right w:w="57" w:type="dxa"/>
            </w:tcMar>
            <w:vAlign w:val="center"/>
          </w:tcPr>
          <w:p w14:paraId="40F0261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62" w:type="dxa"/>
              <w:left w:w="57" w:type="dxa"/>
              <w:bottom w:w="62" w:type="dxa"/>
              <w:right w:w="57" w:type="dxa"/>
            </w:tcMar>
            <w:vAlign w:val="center"/>
          </w:tcPr>
          <w:p w14:paraId="2A6A400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区发展</w:t>
            </w:r>
          </w:p>
          <w:p w14:paraId="0FC2325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改革委</w:t>
            </w:r>
          </w:p>
        </w:tc>
      </w:tr>
      <w:tr w14:paraId="64FE33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61A6EC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18</w:t>
            </w:r>
          </w:p>
        </w:tc>
        <w:tc>
          <w:tcPr>
            <w:tcW w:w="1087" w:type="pct"/>
            <w:gridSpan w:val="2"/>
            <w:tcBorders>
              <w:tl2br w:val="nil"/>
              <w:tr2bl w:val="nil"/>
            </w:tcBorders>
            <w:noWrap w:val="0"/>
            <w:tcMar>
              <w:top w:w="0" w:type="dxa"/>
              <w:left w:w="57" w:type="dxa"/>
              <w:bottom w:w="0" w:type="dxa"/>
              <w:right w:w="57" w:type="dxa"/>
            </w:tcMar>
            <w:vAlign w:val="center"/>
          </w:tcPr>
          <w:p w14:paraId="1C0B454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spacing w:val="-6"/>
                <w:kern w:val="0"/>
                <w:sz w:val="21"/>
                <w:szCs w:val="21"/>
                <w:highlight w:val="none"/>
                <w14:textFill>
                  <w14:solidFill>
                    <w14:schemeClr w14:val="tx1"/>
                  </w14:solidFill>
                </w14:textFill>
              </w:rPr>
              <w:t>单位地区生产总值二氧化碳排放降幅（%）</w:t>
            </w:r>
          </w:p>
        </w:tc>
        <w:tc>
          <w:tcPr>
            <w:tcW w:w="632" w:type="pct"/>
            <w:tcBorders>
              <w:tl2br w:val="nil"/>
              <w:tr2bl w:val="nil"/>
            </w:tcBorders>
            <w:noWrap w:val="0"/>
            <w:tcMar>
              <w:top w:w="0" w:type="dxa"/>
              <w:left w:w="57" w:type="dxa"/>
              <w:bottom w:w="0" w:type="dxa"/>
              <w:right w:w="57" w:type="dxa"/>
            </w:tcMar>
            <w:vAlign w:val="center"/>
          </w:tcPr>
          <w:p w14:paraId="00E6B94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累计21</w:t>
            </w:r>
          </w:p>
        </w:tc>
        <w:tc>
          <w:tcPr>
            <w:tcW w:w="598" w:type="pct"/>
            <w:tcBorders>
              <w:tl2br w:val="nil"/>
              <w:tr2bl w:val="nil"/>
            </w:tcBorders>
            <w:noWrap w:val="0"/>
            <w:tcMar>
              <w:top w:w="0" w:type="dxa"/>
              <w:left w:w="57" w:type="dxa"/>
              <w:bottom w:w="0" w:type="dxa"/>
              <w:right w:w="57" w:type="dxa"/>
            </w:tcMar>
            <w:vAlign w:val="center"/>
          </w:tcPr>
          <w:p w14:paraId="76702C10">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五年</w:t>
            </w:r>
            <w:r>
              <w:rPr>
                <w:rFonts w:hint="eastAsia" w:ascii="宋体" w:hAnsi="宋体" w:eastAsia="宋体" w:cs="宋体"/>
                <w:color w:val="000000" w:themeColor="text1"/>
                <w:kern w:val="0"/>
                <w:sz w:val="21"/>
                <w:szCs w:val="21"/>
                <w:highlight w:val="none"/>
                <w14:textFill>
                  <w14:solidFill>
                    <w14:schemeClr w14:val="tx1"/>
                  </w14:solidFill>
                </w14:textFill>
              </w:rPr>
              <w:t>累计</w:t>
            </w:r>
            <w:r>
              <w:rPr>
                <w:rFonts w:hint="eastAsia" w:ascii="宋体" w:hAnsi="宋体" w:eastAsia="宋体" w:cs="宋体"/>
                <w:color w:val="000000" w:themeColor="text1"/>
                <w:kern w:val="0"/>
                <w:sz w:val="21"/>
                <w:szCs w:val="21"/>
                <w:highlight w:val="none"/>
                <w:lang w:eastAsia="zh-CN"/>
                <w14:textFill>
                  <w14:solidFill>
                    <w14:schemeClr w14:val="tx1"/>
                  </w14:solidFill>
                </w14:textFill>
              </w:rPr>
              <w:t>下降</w:t>
            </w:r>
            <w:r>
              <w:rPr>
                <w:rFonts w:hint="eastAsia" w:ascii="宋体" w:hAnsi="宋体" w:cs="宋体"/>
                <w:color w:val="000000" w:themeColor="text1"/>
                <w:kern w:val="0"/>
                <w:sz w:val="21"/>
                <w:szCs w:val="21"/>
                <w:highlight w:val="none"/>
                <w:lang w:val="en-US" w:eastAsia="zh-CN"/>
                <w14:textFill>
                  <w14:solidFill>
                    <w14:schemeClr w14:val="tx1"/>
                  </w14:solidFill>
                </w14:textFill>
              </w:rPr>
              <w:t>21</w:t>
            </w:r>
          </w:p>
        </w:tc>
        <w:tc>
          <w:tcPr>
            <w:tcW w:w="691" w:type="pct"/>
            <w:tcBorders>
              <w:tl2br w:val="nil"/>
              <w:tr2bl w:val="nil"/>
            </w:tcBorders>
            <w:noWrap w:val="0"/>
            <w:tcMar>
              <w:top w:w="0" w:type="dxa"/>
              <w:left w:w="28" w:type="dxa"/>
              <w:bottom w:w="0" w:type="dxa"/>
              <w:right w:w="28" w:type="dxa"/>
            </w:tcMar>
            <w:vAlign w:val="center"/>
          </w:tcPr>
          <w:p w14:paraId="6C2A5BB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具体数据</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待</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市级通报</w:t>
            </w:r>
          </w:p>
        </w:tc>
        <w:tc>
          <w:tcPr>
            <w:tcW w:w="598" w:type="pct"/>
            <w:tcBorders>
              <w:tl2br w:val="nil"/>
              <w:tr2bl w:val="nil"/>
            </w:tcBorders>
            <w:noWrap w:val="0"/>
            <w:tcMar>
              <w:top w:w="0" w:type="dxa"/>
              <w:left w:w="57" w:type="dxa"/>
              <w:bottom w:w="0" w:type="dxa"/>
              <w:right w:w="57" w:type="dxa"/>
            </w:tcMar>
            <w:vAlign w:val="center"/>
          </w:tcPr>
          <w:p w14:paraId="0E3894A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五年</w:t>
            </w:r>
            <w:r>
              <w:rPr>
                <w:rFonts w:hint="eastAsia" w:ascii="宋体" w:hAnsi="宋体" w:eastAsia="宋体" w:cs="宋体"/>
                <w:color w:val="000000" w:themeColor="text1"/>
                <w:kern w:val="0"/>
                <w:sz w:val="21"/>
                <w:szCs w:val="21"/>
                <w:highlight w:val="none"/>
                <w14:textFill>
                  <w14:solidFill>
                    <w14:schemeClr w14:val="tx1"/>
                  </w14:solidFill>
                </w14:textFill>
              </w:rPr>
              <w:t>累计</w:t>
            </w:r>
            <w:r>
              <w:rPr>
                <w:rFonts w:hint="eastAsia" w:ascii="宋体" w:hAnsi="宋体" w:cs="宋体"/>
                <w:color w:val="000000" w:themeColor="text1"/>
                <w:kern w:val="0"/>
                <w:sz w:val="21"/>
                <w:szCs w:val="21"/>
                <w:highlight w:val="none"/>
                <w:lang w:val="en-US" w:eastAsia="zh-CN"/>
                <w14:textFill>
                  <w14:solidFill>
                    <w14:schemeClr w14:val="tx1"/>
                  </w14:solidFill>
                </w14:textFill>
              </w:rPr>
              <w:t>下降</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21</w:t>
            </w:r>
          </w:p>
        </w:tc>
        <w:tc>
          <w:tcPr>
            <w:tcW w:w="456" w:type="pct"/>
            <w:tcBorders>
              <w:tl2br w:val="nil"/>
              <w:tr2bl w:val="nil"/>
            </w:tcBorders>
            <w:noWrap w:val="0"/>
            <w:tcMar>
              <w:top w:w="0" w:type="dxa"/>
              <w:left w:w="57" w:type="dxa"/>
              <w:bottom w:w="0" w:type="dxa"/>
              <w:right w:w="57" w:type="dxa"/>
            </w:tcMar>
            <w:vAlign w:val="center"/>
          </w:tcPr>
          <w:p w14:paraId="5D76163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62" w:type="dxa"/>
              <w:left w:w="57" w:type="dxa"/>
              <w:bottom w:w="62" w:type="dxa"/>
              <w:right w:w="57" w:type="dxa"/>
            </w:tcMar>
            <w:vAlign w:val="center"/>
          </w:tcPr>
          <w:p w14:paraId="251BCB3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区生态</w:t>
            </w:r>
          </w:p>
          <w:p w14:paraId="312D3E7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环境局</w:t>
            </w:r>
          </w:p>
        </w:tc>
      </w:tr>
      <w:tr w14:paraId="17A8E5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29B456A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19</w:t>
            </w:r>
          </w:p>
        </w:tc>
        <w:tc>
          <w:tcPr>
            <w:tcW w:w="1087" w:type="pct"/>
            <w:gridSpan w:val="2"/>
            <w:tcBorders>
              <w:tl2br w:val="nil"/>
              <w:tr2bl w:val="nil"/>
            </w:tcBorders>
            <w:noWrap w:val="0"/>
            <w:tcMar>
              <w:top w:w="0" w:type="dxa"/>
              <w:left w:w="57" w:type="dxa"/>
              <w:bottom w:w="0" w:type="dxa"/>
              <w:right w:w="57" w:type="dxa"/>
            </w:tcMar>
            <w:vAlign w:val="center"/>
          </w:tcPr>
          <w:p w14:paraId="05B9767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居民人均可支配收入增速（%）</w:t>
            </w:r>
          </w:p>
        </w:tc>
        <w:tc>
          <w:tcPr>
            <w:tcW w:w="632" w:type="pct"/>
            <w:tcBorders>
              <w:tl2br w:val="nil"/>
              <w:tr2bl w:val="nil"/>
            </w:tcBorders>
            <w:noWrap w:val="0"/>
            <w:tcMar>
              <w:top w:w="0" w:type="dxa"/>
              <w:left w:w="57" w:type="dxa"/>
              <w:bottom w:w="0" w:type="dxa"/>
              <w:right w:w="57" w:type="dxa"/>
            </w:tcMar>
            <w:vAlign w:val="center"/>
          </w:tcPr>
          <w:p w14:paraId="655B1F4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与经济增长基本</w:t>
            </w:r>
          </w:p>
          <w:p w14:paraId="2D53360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同步</w:t>
            </w:r>
          </w:p>
        </w:tc>
        <w:tc>
          <w:tcPr>
            <w:tcW w:w="598" w:type="pct"/>
            <w:tcBorders>
              <w:tl2br w:val="nil"/>
              <w:tr2bl w:val="nil"/>
            </w:tcBorders>
            <w:noWrap w:val="0"/>
            <w:tcMar>
              <w:top w:w="0" w:type="dxa"/>
              <w:left w:w="57" w:type="dxa"/>
              <w:bottom w:w="0" w:type="dxa"/>
              <w:right w:w="57" w:type="dxa"/>
            </w:tcMar>
            <w:vAlign w:val="center"/>
          </w:tcPr>
          <w:p w14:paraId="17E4BCA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稳步增长</w:t>
            </w:r>
          </w:p>
        </w:tc>
        <w:tc>
          <w:tcPr>
            <w:tcW w:w="691" w:type="pct"/>
            <w:tcBorders>
              <w:tl2br w:val="nil"/>
              <w:tr2bl w:val="nil"/>
            </w:tcBorders>
            <w:noWrap w:val="0"/>
            <w:tcMar>
              <w:top w:w="0" w:type="dxa"/>
              <w:left w:w="57" w:type="dxa"/>
              <w:bottom w:w="0" w:type="dxa"/>
              <w:right w:w="57" w:type="dxa"/>
            </w:tcMar>
            <w:vAlign w:val="center"/>
          </w:tcPr>
          <w:p w14:paraId="4807B7C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前三季度</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4.1%</w:t>
            </w:r>
          </w:p>
        </w:tc>
        <w:tc>
          <w:tcPr>
            <w:tcW w:w="598" w:type="pct"/>
            <w:tcBorders>
              <w:tl2br w:val="nil"/>
              <w:tr2bl w:val="nil"/>
            </w:tcBorders>
            <w:noWrap w:val="0"/>
            <w:tcMar>
              <w:top w:w="0" w:type="dxa"/>
              <w:left w:w="57" w:type="dxa"/>
              <w:bottom w:w="0" w:type="dxa"/>
              <w:right w:w="57" w:type="dxa"/>
            </w:tcMar>
            <w:vAlign w:val="center"/>
          </w:tcPr>
          <w:p w14:paraId="05036D3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稳步增长</w:t>
            </w:r>
          </w:p>
        </w:tc>
        <w:tc>
          <w:tcPr>
            <w:tcW w:w="456" w:type="pct"/>
            <w:tcBorders>
              <w:tl2br w:val="nil"/>
              <w:tr2bl w:val="nil"/>
            </w:tcBorders>
            <w:noWrap w:val="0"/>
            <w:tcMar>
              <w:top w:w="0" w:type="dxa"/>
              <w:left w:w="57" w:type="dxa"/>
              <w:bottom w:w="0" w:type="dxa"/>
              <w:right w:w="57" w:type="dxa"/>
            </w:tcMar>
            <w:vAlign w:val="center"/>
          </w:tcPr>
          <w:p w14:paraId="44140A6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62" w:type="dxa"/>
              <w:left w:w="57" w:type="dxa"/>
              <w:bottom w:w="62" w:type="dxa"/>
              <w:right w:w="57" w:type="dxa"/>
            </w:tcMar>
            <w:vAlign w:val="center"/>
          </w:tcPr>
          <w:p w14:paraId="583B36D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区人力</w:t>
            </w:r>
          </w:p>
          <w:p w14:paraId="483FEF0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社保局</w:t>
            </w:r>
          </w:p>
        </w:tc>
      </w:tr>
      <w:tr w14:paraId="771079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5B2475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20</w:t>
            </w:r>
          </w:p>
        </w:tc>
        <w:tc>
          <w:tcPr>
            <w:tcW w:w="1087" w:type="pct"/>
            <w:gridSpan w:val="2"/>
            <w:tcBorders>
              <w:tl2br w:val="nil"/>
              <w:tr2bl w:val="nil"/>
            </w:tcBorders>
            <w:noWrap w:val="0"/>
            <w:tcMar>
              <w:top w:w="0" w:type="dxa"/>
              <w:left w:w="57" w:type="dxa"/>
              <w:bottom w:w="0" w:type="dxa"/>
              <w:right w:w="57" w:type="dxa"/>
            </w:tcMar>
            <w:vAlign w:val="center"/>
          </w:tcPr>
          <w:p w14:paraId="1D8AFDD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城镇登记失业率（%）</w:t>
            </w:r>
          </w:p>
        </w:tc>
        <w:tc>
          <w:tcPr>
            <w:tcW w:w="632" w:type="pct"/>
            <w:tcBorders>
              <w:tl2br w:val="nil"/>
              <w:tr2bl w:val="nil"/>
            </w:tcBorders>
            <w:noWrap w:val="0"/>
            <w:tcMar>
              <w:top w:w="0" w:type="dxa"/>
              <w:left w:w="57" w:type="dxa"/>
              <w:bottom w:w="0" w:type="dxa"/>
              <w:right w:w="57" w:type="dxa"/>
            </w:tcMar>
            <w:vAlign w:val="center"/>
          </w:tcPr>
          <w:p w14:paraId="0D6314D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不高于全市平均</w:t>
            </w:r>
          </w:p>
          <w:p w14:paraId="5CF337D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水平</w:t>
            </w:r>
          </w:p>
        </w:tc>
        <w:tc>
          <w:tcPr>
            <w:tcW w:w="598" w:type="pct"/>
            <w:tcBorders>
              <w:tl2br w:val="nil"/>
              <w:tr2bl w:val="nil"/>
            </w:tcBorders>
            <w:noWrap w:val="0"/>
            <w:tcMar>
              <w:top w:w="0" w:type="dxa"/>
              <w:left w:w="57" w:type="dxa"/>
              <w:bottom w:w="0" w:type="dxa"/>
              <w:right w:w="57" w:type="dxa"/>
            </w:tcMar>
            <w:vAlign w:val="center"/>
          </w:tcPr>
          <w:p w14:paraId="194053F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控制在3.1以内</w:t>
            </w:r>
          </w:p>
        </w:tc>
        <w:tc>
          <w:tcPr>
            <w:tcW w:w="691" w:type="pct"/>
            <w:tcBorders>
              <w:tl2br w:val="nil"/>
              <w:tr2bl w:val="nil"/>
            </w:tcBorders>
            <w:noWrap w:val="0"/>
            <w:tcMar>
              <w:top w:w="0" w:type="dxa"/>
              <w:left w:w="57" w:type="dxa"/>
              <w:bottom w:w="0" w:type="dxa"/>
              <w:right w:w="57" w:type="dxa"/>
            </w:tcMar>
            <w:vAlign w:val="center"/>
          </w:tcPr>
          <w:p w14:paraId="4CCCA5A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市级系统升级，暂无</w:t>
            </w:r>
          </w:p>
          <w:p w14:paraId="77E03FB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数据</w:t>
            </w:r>
          </w:p>
        </w:tc>
        <w:tc>
          <w:tcPr>
            <w:tcW w:w="598" w:type="pct"/>
            <w:tcBorders>
              <w:tl2br w:val="nil"/>
              <w:tr2bl w:val="nil"/>
            </w:tcBorders>
            <w:noWrap w:val="0"/>
            <w:tcMar>
              <w:top w:w="0" w:type="dxa"/>
              <w:left w:w="57" w:type="dxa"/>
              <w:bottom w:w="0" w:type="dxa"/>
              <w:right w:w="57" w:type="dxa"/>
            </w:tcMar>
            <w:vAlign w:val="center"/>
          </w:tcPr>
          <w:p w14:paraId="123A4EB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不高于全市平均</w:t>
            </w:r>
          </w:p>
          <w:p w14:paraId="0DA1FDB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水平</w:t>
            </w:r>
          </w:p>
        </w:tc>
        <w:tc>
          <w:tcPr>
            <w:tcW w:w="456" w:type="pct"/>
            <w:tcBorders>
              <w:tl2br w:val="nil"/>
              <w:tr2bl w:val="nil"/>
            </w:tcBorders>
            <w:noWrap w:val="0"/>
            <w:tcMar>
              <w:top w:w="0" w:type="dxa"/>
              <w:left w:w="57" w:type="dxa"/>
              <w:bottom w:w="0" w:type="dxa"/>
              <w:right w:w="57" w:type="dxa"/>
            </w:tcMar>
            <w:vAlign w:val="center"/>
          </w:tcPr>
          <w:p w14:paraId="6FA3AEA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预期性</w:t>
            </w:r>
          </w:p>
        </w:tc>
        <w:tc>
          <w:tcPr>
            <w:tcW w:w="694" w:type="pct"/>
            <w:tcBorders>
              <w:tl2br w:val="nil"/>
              <w:tr2bl w:val="nil"/>
            </w:tcBorders>
            <w:noWrap w:val="0"/>
            <w:tcMar>
              <w:top w:w="62" w:type="dxa"/>
              <w:left w:w="57" w:type="dxa"/>
              <w:bottom w:w="62" w:type="dxa"/>
              <w:right w:w="57" w:type="dxa"/>
            </w:tcMar>
            <w:vAlign w:val="center"/>
          </w:tcPr>
          <w:p w14:paraId="355D753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区人力</w:t>
            </w:r>
          </w:p>
          <w:p w14:paraId="7FE4E6F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社保局</w:t>
            </w:r>
          </w:p>
        </w:tc>
      </w:tr>
      <w:tr w14:paraId="58614D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vMerge w:val="restart"/>
            <w:tcBorders>
              <w:tl2br w:val="nil"/>
              <w:tr2bl w:val="nil"/>
            </w:tcBorders>
            <w:noWrap w:val="0"/>
            <w:tcMar>
              <w:top w:w="0" w:type="dxa"/>
              <w:left w:w="57" w:type="dxa"/>
              <w:bottom w:w="0" w:type="dxa"/>
              <w:right w:w="57" w:type="dxa"/>
            </w:tcMar>
            <w:vAlign w:val="center"/>
          </w:tcPr>
          <w:p w14:paraId="0B8024D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21</w:t>
            </w:r>
          </w:p>
        </w:tc>
        <w:tc>
          <w:tcPr>
            <w:tcW w:w="482" w:type="pct"/>
            <w:vMerge w:val="restart"/>
            <w:tcBorders>
              <w:tl2br w:val="nil"/>
              <w:tr2bl w:val="nil"/>
            </w:tcBorders>
            <w:noWrap w:val="0"/>
            <w:tcMar>
              <w:top w:w="0" w:type="dxa"/>
              <w:left w:w="57" w:type="dxa"/>
              <w:bottom w:w="0" w:type="dxa"/>
              <w:right w:w="57" w:type="dxa"/>
            </w:tcMar>
            <w:vAlign w:val="center"/>
          </w:tcPr>
          <w:p w14:paraId="3A10E1B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新增学位供给数（个）</w:t>
            </w:r>
          </w:p>
        </w:tc>
        <w:tc>
          <w:tcPr>
            <w:tcW w:w="604" w:type="pct"/>
            <w:tcBorders>
              <w:tl2br w:val="nil"/>
              <w:tr2bl w:val="nil"/>
            </w:tcBorders>
            <w:noWrap w:val="0"/>
            <w:tcMar>
              <w:top w:w="0" w:type="dxa"/>
              <w:left w:w="57" w:type="dxa"/>
              <w:bottom w:w="0" w:type="dxa"/>
              <w:right w:w="57" w:type="dxa"/>
            </w:tcMar>
            <w:vAlign w:val="center"/>
          </w:tcPr>
          <w:p w14:paraId="7770834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普惠性</w:t>
            </w:r>
          </w:p>
          <w:p w14:paraId="577BD06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学前</w:t>
            </w:r>
          </w:p>
        </w:tc>
        <w:tc>
          <w:tcPr>
            <w:tcW w:w="632" w:type="pct"/>
            <w:tcBorders>
              <w:tl2br w:val="nil"/>
              <w:tr2bl w:val="nil"/>
            </w:tcBorders>
            <w:noWrap w:val="0"/>
            <w:tcMar>
              <w:top w:w="0" w:type="dxa"/>
              <w:left w:w="57" w:type="dxa"/>
              <w:bottom w:w="0" w:type="dxa"/>
              <w:right w:w="57" w:type="dxa"/>
            </w:tcMar>
            <w:vAlign w:val="center"/>
          </w:tcPr>
          <w:p w14:paraId="7FF4E9D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累计5000左右</w:t>
            </w:r>
          </w:p>
        </w:tc>
        <w:tc>
          <w:tcPr>
            <w:tcW w:w="598" w:type="pct"/>
            <w:tcBorders>
              <w:tl2br w:val="nil"/>
              <w:tr2bl w:val="nil"/>
            </w:tcBorders>
            <w:noWrap w:val="0"/>
            <w:tcMar>
              <w:top w:w="0" w:type="dxa"/>
              <w:left w:w="57" w:type="dxa"/>
              <w:bottom w:w="0" w:type="dxa"/>
              <w:right w:w="57" w:type="dxa"/>
            </w:tcMar>
            <w:vAlign w:val="center"/>
          </w:tcPr>
          <w:p w14:paraId="1380B891">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c>
          <w:tcPr>
            <w:tcW w:w="691" w:type="pct"/>
            <w:tcBorders>
              <w:tl2br w:val="nil"/>
              <w:tr2bl w:val="nil"/>
            </w:tcBorders>
            <w:noWrap w:val="0"/>
            <w:tcMar>
              <w:top w:w="0" w:type="dxa"/>
              <w:left w:w="57" w:type="dxa"/>
              <w:bottom w:w="0" w:type="dxa"/>
              <w:right w:w="57" w:type="dxa"/>
            </w:tcMar>
            <w:vAlign w:val="center"/>
          </w:tcPr>
          <w:p w14:paraId="263BA1F7">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116B71C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w:t>
            </w:r>
          </w:p>
        </w:tc>
        <w:tc>
          <w:tcPr>
            <w:tcW w:w="456" w:type="pct"/>
            <w:vMerge w:val="restart"/>
            <w:tcBorders>
              <w:tl2br w:val="nil"/>
              <w:tr2bl w:val="nil"/>
            </w:tcBorders>
            <w:noWrap w:val="0"/>
            <w:tcMar>
              <w:top w:w="0" w:type="dxa"/>
              <w:left w:w="57" w:type="dxa"/>
              <w:bottom w:w="0" w:type="dxa"/>
              <w:right w:w="57" w:type="dxa"/>
            </w:tcMar>
            <w:vAlign w:val="center"/>
          </w:tcPr>
          <w:p w14:paraId="3AD779E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预期性</w:t>
            </w:r>
          </w:p>
        </w:tc>
        <w:tc>
          <w:tcPr>
            <w:tcW w:w="694" w:type="pct"/>
            <w:vMerge w:val="restart"/>
            <w:tcBorders>
              <w:tl2br w:val="nil"/>
              <w:tr2bl w:val="nil"/>
            </w:tcBorders>
            <w:noWrap w:val="0"/>
            <w:tcMar>
              <w:top w:w="62" w:type="dxa"/>
              <w:left w:w="57" w:type="dxa"/>
              <w:bottom w:w="62" w:type="dxa"/>
              <w:right w:w="57" w:type="dxa"/>
            </w:tcMar>
            <w:vAlign w:val="center"/>
          </w:tcPr>
          <w:p w14:paraId="455989F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区教委</w:t>
            </w:r>
          </w:p>
        </w:tc>
      </w:tr>
      <w:tr w14:paraId="6BA969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vMerge w:val="continue"/>
            <w:tcBorders>
              <w:tl2br w:val="nil"/>
              <w:tr2bl w:val="nil"/>
            </w:tcBorders>
            <w:noWrap w:val="0"/>
            <w:tcMar>
              <w:top w:w="0" w:type="dxa"/>
              <w:left w:w="57" w:type="dxa"/>
              <w:bottom w:w="0" w:type="dxa"/>
              <w:right w:w="57" w:type="dxa"/>
            </w:tcMar>
            <w:vAlign w:val="center"/>
          </w:tcPr>
          <w:p w14:paraId="6FF597C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c>
          <w:tcPr>
            <w:tcW w:w="482" w:type="pct"/>
            <w:vMerge w:val="continue"/>
            <w:tcBorders>
              <w:tl2br w:val="nil"/>
              <w:tr2bl w:val="nil"/>
            </w:tcBorders>
            <w:noWrap w:val="0"/>
            <w:tcMar>
              <w:top w:w="0" w:type="dxa"/>
              <w:left w:w="57" w:type="dxa"/>
              <w:bottom w:w="0" w:type="dxa"/>
              <w:right w:w="57" w:type="dxa"/>
            </w:tcMar>
            <w:vAlign w:val="center"/>
          </w:tcPr>
          <w:p w14:paraId="76A98B8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c>
          <w:tcPr>
            <w:tcW w:w="604" w:type="pct"/>
            <w:tcBorders>
              <w:tl2br w:val="nil"/>
              <w:tr2bl w:val="nil"/>
            </w:tcBorders>
            <w:noWrap w:val="0"/>
            <w:tcMar>
              <w:top w:w="0" w:type="dxa"/>
              <w:left w:w="57" w:type="dxa"/>
              <w:bottom w:w="0" w:type="dxa"/>
              <w:right w:w="57" w:type="dxa"/>
            </w:tcMar>
            <w:vAlign w:val="center"/>
          </w:tcPr>
          <w:p w14:paraId="2F0F6E2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中小学</w:t>
            </w:r>
          </w:p>
        </w:tc>
        <w:tc>
          <w:tcPr>
            <w:tcW w:w="632" w:type="pct"/>
            <w:tcBorders>
              <w:tl2br w:val="nil"/>
              <w:tr2bl w:val="nil"/>
            </w:tcBorders>
            <w:noWrap w:val="0"/>
            <w:tcMar>
              <w:top w:w="0" w:type="dxa"/>
              <w:left w:w="57" w:type="dxa"/>
              <w:bottom w:w="0" w:type="dxa"/>
              <w:right w:w="57" w:type="dxa"/>
            </w:tcMar>
            <w:vAlign w:val="center"/>
          </w:tcPr>
          <w:p w14:paraId="6CFB0BE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37700</w:t>
            </w:r>
          </w:p>
        </w:tc>
        <w:tc>
          <w:tcPr>
            <w:tcW w:w="598" w:type="pct"/>
            <w:tcBorders>
              <w:tl2br w:val="nil"/>
              <w:tr2bl w:val="nil"/>
            </w:tcBorders>
            <w:noWrap w:val="0"/>
            <w:tcMar>
              <w:top w:w="0" w:type="dxa"/>
              <w:left w:w="57" w:type="dxa"/>
              <w:bottom w:w="0" w:type="dxa"/>
              <w:right w:w="57" w:type="dxa"/>
            </w:tcMar>
            <w:vAlign w:val="center"/>
          </w:tcPr>
          <w:p w14:paraId="71222700">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8000</w:t>
            </w:r>
          </w:p>
        </w:tc>
        <w:tc>
          <w:tcPr>
            <w:tcW w:w="691" w:type="pct"/>
            <w:tcBorders>
              <w:tl2br w:val="nil"/>
              <w:tr2bl w:val="nil"/>
            </w:tcBorders>
            <w:noWrap w:val="0"/>
            <w:tcMar>
              <w:top w:w="0" w:type="dxa"/>
              <w:left w:w="57" w:type="dxa"/>
              <w:bottom w:w="0" w:type="dxa"/>
              <w:right w:w="57" w:type="dxa"/>
            </w:tcMar>
            <w:vAlign w:val="center"/>
          </w:tcPr>
          <w:p w14:paraId="559FABEE">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8000</w:t>
            </w:r>
          </w:p>
        </w:tc>
        <w:tc>
          <w:tcPr>
            <w:tcW w:w="598" w:type="pct"/>
            <w:tcBorders>
              <w:tl2br w:val="nil"/>
              <w:tr2bl w:val="nil"/>
            </w:tcBorders>
            <w:noWrap w:val="0"/>
            <w:tcMar>
              <w:top w:w="0" w:type="dxa"/>
              <w:left w:w="57" w:type="dxa"/>
              <w:bottom w:w="0" w:type="dxa"/>
              <w:right w:w="57" w:type="dxa"/>
            </w:tcMar>
            <w:vAlign w:val="center"/>
          </w:tcPr>
          <w:p w14:paraId="1A74AE4F">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7900</w:t>
            </w:r>
          </w:p>
        </w:tc>
        <w:tc>
          <w:tcPr>
            <w:tcW w:w="456" w:type="pct"/>
            <w:vMerge w:val="continue"/>
            <w:tcBorders>
              <w:tl2br w:val="nil"/>
              <w:tr2bl w:val="nil"/>
            </w:tcBorders>
            <w:noWrap w:val="0"/>
            <w:tcMar>
              <w:top w:w="0" w:type="dxa"/>
              <w:left w:w="57" w:type="dxa"/>
              <w:bottom w:w="0" w:type="dxa"/>
              <w:right w:w="57" w:type="dxa"/>
            </w:tcMar>
            <w:vAlign w:val="center"/>
          </w:tcPr>
          <w:p w14:paraId="1F33A569">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p>
        </w:tc>
        <w:tc>
          <w:tcPr>
            <w:tcW w:w="694" w:type="pct"/>
            <w:vMerge w:val="continue"/>
            <w:tcBorders>
              <w:tl2br w:val="nil"/>
              <w:tr2bl w:val="nil"/>
            </w:tcBorders>
            <w:noWrap w:val="0"/>
            <w:tcMar>
              <w:top w:w="0" w:type="dxa"/>
              <w:left w:w="57" w:type="dxa"/>
              <w:bottom w:w="0" w:type="dxa"/>
              <w:right w:w="57" w:type="dxa"/>
            </w:tcMar>
            <w:vAlign w:val="center"/>
          </w:tcPr>
          <w:p w14:paraId="73F2732A">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r>
      <w:tr w14:paraId="272766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7607CD5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22</w:t>
            </w:r>
          </w:p>
        </w:tc>
        <w:tc>
          <w:tcPr>
            <w:tcW w:w="1087" w:type="pct"/>
            <w:gridSpan w:val="2"/>
            <w:tcBorders>
              <w:tl2br w:val="nil"/>
              <w:tr2bl w:val="nil"/>
            </w:tcBorders>
            <w:noWrap w:val="0"/>
            <w:tcMar>
              <w:top w:w="0" w:type="dxa"/>
              <w:left w:w="57" w:type="dxa"/>
              <w:bottom w:w="0" w:type="dxa"/>
              <w:right w:w="57" w:type="dxa"/>
            </w:tcMar>
            <w:vAlign w:val="center"/>
          </w:tcPr>
          <w:p w14:paraId="092165B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spacing w:val="-6"/>
                <w:kern w:val="0"/>
                <w:sz w:val="21"/>
                <w:szCs w:val="21"/>
                <w:highlight w:val="none"/>
                <w14:textFill>
                  <w14:solidFill>
                    <w14:schemeClr w14:val="tx1"/>
                  </w14:solidFill>
                </w14:textFill>
              </w:rPr>
              <w:t>每千人常住人口执业（助理）医师数（人）</w:t>
            </w:r>
          </w:p>
        </w:tc>
        <w:tc>
          <w:tcPr>
            <w:tcW w:w="632" w:type="pct"/>
            <w:tcBorders>
              <w:tl2br w:val="nil"/>
              <w:tr2bl w:val="nil"/>
            </w:tcBorders>
            <w:noWrap w:val="0"/>
            <w:tcMar>
              <w:top w:w="0" w:type="dxa"/>
              <w:left w:w="57" w:type="dxa"/>
              <w:bottom w:w="0" w:type="dxa"/>
              <w:right w:w="57" w:type="dxa"/>
            </w:tcMar>
            <w:vAlign w:val="center"/>
          </w:tcPr>
          <w:p w14:paraId="14C6EFA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5.11</w:t>
            </w:r>
          </w:p>
        </w:tc>
        <w:tc>
          <w:tcPr>
            <w:tcW w:w="598" w:type="pct"/>
            <w:tcBorders>
              <w:tl2br w:val="nil"/>
              <w:tr2bl w:val="nil"/>
            </w:tcBorders>
            <w:noWrap w:val="0"/>
            <w:tcMar>
              <w:top w:w="0" w:type="dxa"/>
              <w:left w:w="57" w:type="dxa"/>
              <w:bottom w:w="0" w:type="dxa"/>
              <w:right w:w="57" w:type="dxa"/>
            </w:tcMar>
            <w:vAlign w:val="center"/>
          </w:tcPr>
          <w:p w14:paraId="23E7E86E">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5.10</w:t>
            </w:r>
          </w:p>
        </w:tc>
        <w:tc>
          <w:tcPr>
            <w:tcW w:w="691" w:type="pct"/>
            <w:tcBorders>
              <w:tl2br w:val="nil"/>
              <w:tr2bl w:val="nil"/>
            </w:tcBorders>
            <w:noWrap w:val="0"/>
            <w:tcMar>
              <w:top w:w="0" w:type="dxa"/>
              <w:left w:w="57" w:type="dxa"/>
              <w:bottom w:w="0" w:type="dxa"/>
              <w:right w:w="57" w:type="dxa"/>
            </w:tcMar>
            <w:vAlign w:val="center"/>
          </w:tcPr>
          <w:p w14:paraId="4C41516F">
            <w:pPr>
              <w:keepNext w:val="0"/>
              <w:keepLines w:val="0"/>
              <w:pageBreakBefore w:val="0"/>
              <w:widowControl w:val="0"/>
              <w:kinsoku/>
              <w:wordWrap/>
              <w:overflowPunct/>
              <w:topLinePunct w:val="0"/>
              <w:autoSpaceDE/>
              <w:autoSpaceDN/>
              <w:bidi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5.3</w:t>
            </w:r>
          </w:p>
        </w:tc>
        <w:tc>
          <w:tcPr>
            <w:tcW w:w="598" w:type="pct"/>
            <w:tcBorders>
              <w:tl2br w:val="nil"/>
              <w:tr2bl w:val="nil"/>
            </w:tcBorders>
            <w:noWrap w:val="0"/>
            <w:tcMar>
              <w:top w:w="0" w:type="dxa"/>
              <w:left w:w="57" w:type="dxa"/>
              <w:bottom w:w="0" w:type="dxa"/>
              <w:right w:w="57" w:type="dxa"/>
            </w:tcMar>
            <w:vAlign w:val="center"/>
          </w:tcPr>
          <w:p w14:paraId="47E0FEA5">
            <w:pPr>
              <w:keepNext w:val="0"/>
              <w:keepLines w:val="0"/>
              <w:pageBreakBefore w:val="0"/>
              <w:widowControl w:val="0"/>
              <w:kinsoku/>
              <w:wordWrap/>
              <w:overflowPunct/>
              <w:topLinePunct w:val="0"/>
              <w:autoSpaceDE/>
              <w:autoSpaceDN/>
              <w:bidi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5.3</w:t>
            </w:r>
          </w:p>
        </w:tc>
        <w:tc>
          <w:tcPr>
            <w:tcW w:w="456" w:type="pct"/>
            <w:tcBorders>
              <w:tl2br w:val="nil"/>
              <w:tr2bl w:val="nil"/>
            </w:tcBorders>
            <w:noWrap w:val="0"/>
            <w:tcMar>
              <w:top w:w="0" w:type="dxa"/>
              <w:left w:w="57" w:type="dxa"/>
              <w:bottom w:w="0" w:type="dxa"/>
              <w:right w:w="57" w:type="dxa"/>
            </w:tcMar>
            <w:vAlign w:val="center"/>
          </w:tcPr>
          <w:p w14:paraId="6315284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预期性</w:t>
            </w:r>
          </w:p>
        </w:tc>
        <w:tc>
          <w:tcPr>
            <w:tcW w:w="694" w:type="pct"/>
            <w:tcBorders>
              <w:tl2br w:val="nil"/>
              <w:tr2bl w:val="nil"/>
            </w:tcBorders>
            <w:noWrap w:val="0"/>
            <w:tcMar>
              <w:top w:w="62" w:type="dxa"/>
              <w:left w:w="57" w:type="dxa"/>
              <w:bottom w:w="62" w:type="dxa"/>
              <w:right w:w="57" w:type="dxa"/>
            </w:tcMar>
            <w:vAlign w:val="center"/>
          </w:tcPr>
          <w:p w14:paraId="2FB1DE3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区卫生</w:t>
            </w:r>
          </w:p>
          <w:p w14:paraId="7C8A04D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健康委</w:t>
            </w:r>
          </w:p>
        </w:tc>
      </w:tr>
      <w:tr w14:paraId="6C27C2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053F1FB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23</w:t>
            </w:r>
          </w:p>
        </w:tc>
        <w:tc>
          <w:tcPr>
            <w:tcW w:w="1087" w:type="pct"/>
            <w:gridSpan w:val="2"/>
            <w:tcBorders>
              <w:tl2br w:val="nil"/>
              <w:tr2bl w:val="nil"/>
            </w:tcBorders>
            <w:noWrap w:val="0"/>
            <w:tcMar>
              <w:top w:w="0" w:type="dxa"/>
              <w:left w:w="57" w:type="dxa"/>
              <w:bottom w:w="0" w:type="dxa"/>
              <w:right w:w="57" w:type="dxa"/>
            </w:tcMar>
            <w:vAlign w:val="center"/>
          </w:tcPr>
          <w:p w14:paraId="0520A9C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每万名常住人口疾控力量配比（人）</w:t>
            </w:r>
          </w:p>
        </w:tc>
        <w:tc>
          <w:tcPr>
            <w:tcW w:w="632" w:type="pct"/>
            <w:tcBorders>
              <w:tl2br w:val="nil"/>
              <w:tr2bl w:val="nil"/>
            </w:tcBorders>
            <w:noWrap w:val="0"/>
            <w:tcMar>
              <w:top w:w="0" w:type="dxa"/>
              <w:left w:w="57" w:type="dxa"/>
              <w:bottom w:w="0" w:type="dxa"/>
              <w:right w:w="57" w:type="dxa"/>
            </w:tcMar>
            <w:vAlign w:val="center"/>
          </w:tcPr>
          <w:p w14:paraId="103FDA7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1.75</w:t>
            </w:r>
          </w:p>
        </w:tc>
        <w:tc>
          <w:tcPr>
            <w:tcW w:w="598" w:type="pct"/>
            <w:tcBorders>
              <w:tl2br w:val="nil"/>
              <w:tr2bl w:val="nil"/>
            </w:tcBorders>
            <w:noWrap w:val="0"/>
            <w:tcMar>
              <w:top w:w="0" w:type="dxa"/>
              <w:left w:w="57" w:type="dxa"/>
              <w:bottom w:w="0" w:type="dxa"/>
              <w:right w:w="57" w:type="dxa"/>
            </w:tcMar>
            <w:vAlign w:val="center"/>
          </w:tcPr>
          <w:p w14:paraId="3EBF2AB4">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1.75</w:t>
            </w:r>
          </w:p>
        </w:tc>
        <w:tc>
          <w:tcPr>
            <w:tcW w:w="691" w:type="pct"/>
            <w:tcBorders>
              <w:tl2br w:val="nil"/>
              <w:tr2bl w:val="nil"/>
            </w:tcBorders>
            <w:noWrap w:val="0"/>
            <w:tcMar>
              <w:top w:w="0" w:type="dxa"/>
              <w:left w:w="57" w:type="dxa"/>
              <w:bottom w:w="0" w:type="dxa"/>
              <w:right w:w="57" w:type="dxa"/>
            </w:tcMar>
            <w:vAlign w:val="center"/>
          </w:tcPr>
          <w:p w14:paraId="503C76EB">
            <w:pPr>
              <w:keepNext w:val="0"/>
              <w:keepLines w:val="0"/>
              <w:pageBreakBefore w:val="0"/>
              <w:widowControl w:val="0"/>
              <w:kinsoku/>
              <w:wordWrap/>
              <w:overflowPunct/>
              <w:topLinePunct w:val="0"/>
              <w:autoSpaceDE/>
              <w:autoSpaceDN/>
              <w:bidi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1.75</w:t>
            </w:r>
          </w:p>
        </w:tc>
        <w:tc>
          <w:tcPr>
            <w:tcW w:w="598" w:type="pct"/>
            <w:tcBorders>
              <w:tl2br w:val="nil"/>
              <w:tr2bl w:val="nil"/>
            </w:tcBorders>
            <w:noWrap w:val="0"/>
            <w:tcMar>
              <w:top w:w="0" w:type="dxa"/>
              <w:left w:w="57" w:type="dxa"/>
              <w:bottom w:w="0" w:type="dxa"/>
              <w:right w:w="57" w:type="dxa"/>
            </w:tcMar>
            <w:vAlign w:val="center"/>
          </w:tcPr>
          <w:p w14:paraId="750DE142">
            <w:pPr>
              <w:keepNext w:val="0"/>
              <w:keepLines w:val="0"/>
              <w:pageBreakBefore w:val="0"/>
              <w:widowControl w:val="0"/>
              <w:kinsoku/>
              <w:wordWrap/>
              <w:overflowPunct/>
              <w:topLinePunct w:val="0"/>
              <w:autoSpaceDE/>
              <w:autoSpaceDN/>
              <w:bidi w:val="0"/>
              <w:spacing w:line="300" w:lineRule="exact"/>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1.75</w:t>
            </w:r>
          </w:p>
        </w:tc>
        <w:tc>
          <w:tcPr>
            <w:tcW w:w="456" w:type="pct"/>
            <w:tcBorders>
              <w:tl2br w:val="nil"/>
              <w:tr2bl w:val="nil"/>
            </w:tcBorders>
            <w:noWrap w:val="0"/>
            <w:tcMar>
              <w:top w:w="0" w:type="dxa"/>
              <w:left w:w="57" w:type="dxa"/>
              <w:bottom w:w="0" w:type="dxa"/>
              <w:right w:w="57" w:type="dxa"/>
            </w:tcMar>
            <w:vAlign w:val="center"/>
          </w:tcPr>
          <w:p w14:paraId="115C930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约束性</w:t>
            </w:r>
          </w:p>
        </w:tc>
        <w:tc>
          <w:tcPr>
            <w:tcW w:w="694" w:type="pct"/>
            <w:tcBorders>
              <w:tl2br w:val="nil"/>
              <w:tr2bl w:val="nil"/>
            </w:tcBorders>
            <w:noWrap w:val="0"/>
            <w:tcMar>
              <w:top w:w="34" w:type="dxa"/>
              <w:left w:w="57" w:type="dxa"/>
              <w:bottom w:w="34" w:type="dxa"/>
              <w:right w:w="57" w:type="dxa"/>
            </w:tcMar>
            <w:vAlign w:val="center"/>
          </w:tcPr>
          <w:p w14:paraId="4A0E747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区卫生</w:t>
            </w:r>
          </w:p>
          <w:p w14:paraId="67F908C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健康委</w:t>
            </w:r>
          </w:p>
        </w:tc>
      </w:tr>
      <w:tr w14:paraId="692A71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val="0"/>
            <w:tcMar>
              <w:top w:w="0" w:type="dxa"/>
              <w:left w:w="57" w:type="dxa"/>
              <w:bottom w:w="0" w:type="dxa"/>
              <w:right w:w="57" w:type="dxa"/>
            </w:tcMar>
            <w:vAlign w:val="center"/>
          </w:tcPr>
          <w:p w14:paraId="6E0552D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24</w:t>
            </w:r>
          </w:p>
        </w:tc>
        <w:tc>
          <w:tcPr>
            <w:tcW w:w="1087" w:type="pct"/>
            <w:gridSpan w:val="2"/>
            <w:tcBorders>
              <w:tl2br w:val="nil"/>
              <w:tr2bl w:val="nil"/>
            </w:tcBorders>
            <w:noWrap w:val="0"/>
            <w:tcMar>
              <w:top w:w="0" w:type="dxa"/>
              <w:left w:w="57" w:type="dxa"/>
              <w:bottom w:w="0" w:type="dxa"/>
              <w:right w:w="57" w:type="dxa"/>
            </w:tcMar>
            <w:vAlign w:val="center"/>
          </w:tcPr>
          <w:p w14:paraId="62839D0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单位地区生产总值生产安全事故</w:t>
            </w:r>
          </w:p>
          <w:p w14:paraId="2D63FD2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死亡率</w:t>
            </w:r>
          </w:p>
          <w:p w14:paraId="6BCB4BB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（人/百亿元）</w:t>
            </w:r>
          </w:p>
        </w:tc>
        <w:tc>
          <w:tcPr>
            <w:tcW w:w="632" w:type="pct"/>
            <w:tcBorders>
              <w:tl2br w:val="nil"/>
              <w:tr2bl w:val="nil"/>
            </w:tcBorders>
            <w:noWrap w:val="0"/>
            <w:tcMar>
              <w:top w:w="0" w:type="dxa"/>
              <w:left w:w="57" w:type="dxa"/>
              <w:bottom w:w="0" w:type="dxa"/>
              <w:right w:w="57" w:type="dxa"/>
            </w:tcMar>
            <w:vAlign w:val="center"/>
          </w:tcPr>
          <w:p w14:paraId="64CEE79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&lt;0.9</w:t>
            </w:r>
          </w:p>
        </w:tc>
        <w:tc>
          <w:tcPr>
            <w:tcW w:w="598" w:type="pct"/>
            <w:tcBorders>
              <w:tl2br w:val="nil"/>
              <w:tr2bl w:val="nil"/>
            </w:tcBorders>
            <w:noWrap w:val="0"/>
            <w:tcMar>
              <w:top w:w="0" w:type="dxa"/>
              <w:left w:w="57" w:type="dxa"/>
              <w:bottom w:w="0" w:type="dxa"/>
              <w:right w:w="57" w:type="dxa"/>
            </w:tcMar>
            <w:vAlign w:val="center"/>
          </w:tcPr>
          <w:p w14:paraId="566BAE3A">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&lt;0.9</w:t>
            </w:r>
          </w:p>
        </w:tc>
        <w:tc>
          <w:tcPr>
            <w:tcW w:w="691" w:type="pct"/>
            <w:tcBorders>
              <w:tl2br w:val="nil"/>
              <w:tr2bl w:val="nil"/>
            </w:tcBorders>
            <w:noWrap w:val="0"/>
            <w:tcMar>
              <w:top w:w="0" w:type="dxa"/>
              <w:left w:w="57" w:type="dxa"/>
              <w:bottom w:w="0" w:type="dxa"/>
              <w:right w:w="57" w:type="dxa"/>
            </w:tcMar>
            <w:vAlign w:val="center"/>
          </w:tcPr>
          <w:p w14:paraId="45694E2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0.2</w:t>
            </w:r>
          </w:p>
        </w:tc>
        <w:tc>
          <w:tcPr>
            <w:tcW w:w="598" w:type="pct"/>
            <w:tcBorders>
              <w:tl2br w:val="nil"/>
              <w:tr2bl w:val="nil"/>
            </w:tcBorders>
            <w:noWrap w:val="0"/>
            <w:tcMar>
              <w:top w:w="0" w:type="dxa"/>
              <w:left w:w="57" w:type="dxa"/>
              <w:bottom w:w="0" w:type="dxa"/>
              <w:right w:w="57" w:type="dxa"/>
            </w:tcMar>
            <w:vAlign w:val="center"/>
          </w:tcPr>
          <w:p w14:paraId="0F709EB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&lt;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0.9</w:t>
            </w:r>
          </w:p>
        </w:tc>
        <w:tc>
          <w:tcPr>
            <w:tcW w:w="456" w:type="pct"/>
            <w:tcBorders>
              <w:tl2br w:val="nil"/>
              <w:tr2bl w:val="nil"/>
            </w:tcBorders>
            <w:noWrap w:val="0"/>
            <w:tcMar>
              <w:top w:w="0" w:type="dxa"/>
              <w:left w:w="57" w:type="dxa"/>
              <w:bottom w:w="0" w:type="dxa"/>
              <w:right w:w="57" w:type="dxa"/>
            </w:tcMar>
            <w:vAlign w:val="center"/>
          </w:tcPr>
          <w:p w14:paraId="227C1B0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约束性</w:t>
            </w:r>
          </w:p>
        </w:tc>
        <w:tc>
          <w:tcPr>
            <w:tcW w:w="694" w:type="pct"/>
            <w:tcBorders>
              <w:tl2br w:val="nil"/>
              <w:tr2bl w:val="nil"/>
            </w:tcBorders>
            <w:noWrap w:val="0"/>
            <w:tcMar>
              <w:top w:w="34" w:type="dxa"/>
              <w:left w:w="57" w:type="dxa"/>
              <w:bottom w:w="34" w:type="dxa"/>
              <w:right w:w="57" w:type="dxa"/>
            </w:tcMar>
            <w:vAlign w:val="center"/>
          </w:tcPr>
          <w:p w14:paraId="65E55AA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区应急</w:t>
            </w:r>
          </w:p>
          <w:p w14:paraId="138B32B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管理局</w:t>
            </w:r>
          </w:p>
        </w:tc>
      </w:tr>
      <w:tr w14:paraId="5AB5C1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vMerge w:val="restart"/>
            <w:tcBorders>
              <w:tl2br w:val="nil"/>
              <w:tr2bl w:val="nil"/>
            </w:tcBorders>
            <w:noWrap w:val="0"/>
            <w:tcMar>
              <w:top w:w="0" w:type="dxa"/>
              <w:left w:w="57" w:type="dxa"/>
              <w:bottom w:w="0" w:type="dxa"/>
              <w:right w:w="57" w:type="dxa"/>
            </w:tcMar>
            <w:vAlign w:val="center"/>
          </w:tcPr>
          <w:p w14:paraId="6331916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25</w:t>
            </w:r>
          </w:p>
        </w:tc>
        <w:tc>
          <w:tcPr>
            <w:tcW w:w="482" w:type="pct"/>
            <w:vMerge w:val="restart"/>
            <w:tcBorders>
              <w:tl2br w:val="nil"/>
              <w:tr2bl w:val="nil"/>
            </w:tcBorders>
            <w:noWrap w:val="0"/>
            <w:tcMar>
              <w:top w:w="0" w:type="dxa"/>
              <w:left w:w="57" w:type="dxa"/>
              <w:bottom w:w="0" w:type="dxa"/>
              <w:right w:w="57" w:type="dxa"/>
            </w:tcMar>
            <w:vAlign w:val="center"/>
          </w:tcPr>
          <w:p w14:paraId="773CC84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食品、药品安全</w:t>
            </w:r>
          </w:p>
        </w:tc>
        <w:tc>
          <w:tcPr>
            <w:tcW w:w="604" w:type="pct"/>
            <w:tcBorders>
              <w:tl2br w:val="nil"/>
              <w:tr2bl w:val="nil"/>
            </w:tcBorders>
            <w:noWrap w:val="0"/>
            <w:tcMar>
              <w:top w:w="0" w:type="dxa"/>
              <w:left w:w="57" w:type="dxa"/>
              <w:bottom w:w="0" w:type="dxa"/>
              <w:right w:w="57" w:type="dxa"/>
            </w:tcMar>
            <w:vAlign w:val="center"/>
          </w:tcPr>
          <w:p w14:paraId="45E9725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食品抽检合格率（%）</w:t>
            </w:r>
          </w:p>
        </w:tc>
        <w:tc>
          <w:tcPr>
            <w:tcW w:w="632" w:type="pct"/>
            <w:tcBorders>
              <w:tl2br w:val="nil"/>
              <w:tr2bl w:val="nil"/>
            </w:tcBorders>
            <w:noWrap w:val="0"/>
            <w:tcMar>
              <w:top w:w="0" w:type="dxa"/>
              <w:left w:w="57" w:type="dxa"/>
              <w:bottom w:w="0" w:type="dxa"/>
              <w:right w:w="57" w:type="dxa"/>
            </w:tcMar>
            <w:vAlign w:val="center"/>
          </w:tcPr>
          <w:p w14:paraId="5D573B9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&gt;98.5</w:t>
            </w:r>
          </w:p>
        </w:tc>
        <w:tc>
          <w:tcPr>
            <w:tcW w:w="598" w:type="pct"/>
            <w:tcBorders>
              <w:tl2br w:val="nil"/>
              <w:tr2bl w:val="nil"/>
            </w:tcBorders>
            <w:noWrap w:val="0"/>
            <w:tcMar>
              <w:top w:w="0" w:type="dxa"/>
              <w:left w:w="57" w:type="dxa"/>
              <w:bottom w:w="0" w:type="dxa"/>
              <w:right w:w="57" w:type="dxa"/>
            </w:tcMar>
            <w:vAlign w:val="center"/>
          </w:tcPr>
          <w:p w14:paraId="36DBA128">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&gt;98.5</w:t>
            </w:r>
          </w:p>
        </w:tc>
        <w:tc>
          <w:tcPr>
            <w:tcW w:w="691" w:type="pct"/>
            <w:tcBorders>
              <w:tl2br w:val="nil"/>
              <w:tr2bl w:val="nil"/>
            </w:tcBorders>
            <w:noWrap w:val="0"/>
            <w:tcMar>
              <w:top w:w="0" w:type="dxa"/>
              <w:left w:w="57" w:type="dxa"/>
              <w:bottom w:w="0" w:type="dxa"/>
              <w:right w:w="57" w:type="dxa"/>
            </w:tcMar>
            <w:vAlign w:val="center"/>
          </w:tcPr>
          <w:p w14:paraId="09B4299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&gt;98.5</w:t>
            </w:r>
          </w:p>
        </w:tc>
        <w:tc>
          <w:tcPr>
            <w:tcW w:w="598" w:type="pct"/>
            <w:tcBorders>
              <w:tl2br w:val="nil"/>
              <w:tr2bl w:val="nil"/>
            </w:tcBorders>
            <w:noWrap w:val="0"/>
            <w:tcMar>
              <w:top w:w="0" w:type="dxa"/>
              <w:left w:w="57" w:type="dxa"/>
              <w:bottom w:w="0" w:type="dxa"/>
              <w:right w:w="57" w:type="dxa"/>
            </w:tcMar>
            <w:vAlign w:val="center"/>
          </w:tcPr>
          <w:p w14:paraId="3AD3C39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&gt;98.5</w:t>
            </w:r>
          </w:p>
        </w:tc>
        <w:tc>
          <w:tcPr>
            <w:tcW w:w="456" w:type="pct"/>
            <w:vMerge w:val="restart"/>
            <w:tcBorders>
              <w:tl2br w:val="nil"/>
              <w:tr2bl w:val="nil"/>
            </w:tcBorders>
            <w:noWrap w:val="0"/>
            <w:tcMar>
              <w:top w:w="0" w:type="dxa"/>
              <w:left w:w="57" w:type="dxa"/>
              <w:bottom w:w="0" w:type="dxa"/>
              <w:right w:w="57" w:type="dxa"/>
            </w:tcMar>
            <w:vAlign w:val="center"/>
          </w:tcPr>
          <w:p w14:paraId="6AEDA4F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约束性</w:t>
            </w:r>
          </w:p>
        </w:tc>
        <w:tc>
          <w:tcPr>
            <w:tcW w:w="694" w:type="pct"/>
            <w:vMerge w:val="restart"/>
            <w:tcBorders>
              <w:tl2br w:val="nil"/>
              <w:tr2bl w:val="nil"/>
            </w:tcBorders>
            <w:noWrap w:val="0"/>
            <w:tcMar>
              <w:top w:w="34" w:type="dxa"/>
              <w:left w:w="57" w:type="dxa"/>
              <w:bottom w:w="34" w:type="dxa"/>
              <w:right w:w="57" w:type="dxa"/>
            </w:tcMar>
            <w:vAlign w:val="center"/>
          </w:tcPr>
          <w:p w14:paraId="17625FB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区市场</w:t>
            </w:r>
          </w:p>
          <w:p w14:paraId="2D672D9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监管局</w:t>
            </w:r>
          </w:p>
        </w:tc>
      </w:tr>
      <w:tr w14:paraId="402BD4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vMerge w:val="continue"/>
            <w:tcBorders>
              <w:tl2br w:val="nil"/>
              <w:tr2bl w:val="nil"/>
            </w:tcBorders>
            <w:noWrap w:val="0"/>
            <w:tcMar>
              <w:top w:w="0" w:type="dxa"/>
              <w:left w:w="57" w:type="dxa"/>
              <w:bottom w:w="0" w:type="dxa"/>
              <w:right w:w="57" w:type="dxa"/>
            </w:tcMar>
            <w:vAlign w:val="center"/>
          </w:tcPr>
          <w:p w14:paraId="70D5DCE4">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c>
          <w:tcPr>
            <w:tcW w:w="482" w:type="pct"/>
            <w:vMerge w:val="continue"/>
            <w:tcBorders>
              <w:tl2br w:val="nil"/>
              <w:tr2bl w:val="nil"/>
            </w:tcBorders>
            <w:noWrap w:val="0"/>
            <w:tcMar>
              <w:top w:w="0" w:type="dxa"/>
              <w:left w:w="57" w:type="dxa"/>
              <w:bottom w:w="0" w:type="dxa"/>
              <w:right w:w="57" w:type="dxa"/>
            </w:tcMar>
            <w:vAlign w:val="center"/>
          </w:tcPr>
          <w:p w14:paraId="56AEFD9B">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c>
          <w:tcPr>
            <w:tcW w:w="604" w:type="pct"/>
            <w:tcBorders>
              <w:tl2br w:val="nil"/>
              <w:tr2bl w:val="nil"/>
            </w:tcBorders>
            <w:noWrap w:val="0"/>
            <w:tcMar>
              <w:top w:w="0" w:type="dxa"/>
              <w:left w:w="57" w:type="dxa"/>
              <w:bottom w:w="0" w:type="dxa"/>
              <w:right w:w="57" w:type="dxa"/>
            </w:tcMar>
            <w:vAlign w:val="center"/>
          </w:tcPr>
          <w:p w14:paraId="0D6CE19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药品</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监督</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抽检合格率（%）</w:t>
            </w:r>
          </w:p>
        </w:tc>
        <w:tc>
          <w:tcPr>
            <w:tcW w:w="632" w:type="pct"/>
            <w:tcBorders>
              <w:tl2br w:val="nil"/>
              <w:tr2bl w:val="nil"/>
            </w:tcBorders>
            <w:noWrap w:val="0"/>
            <w:tcMar>
              <w:top w:w="0" w:type="dxa"/>
              <w:left w:w="57" w:type="dxa"/>
              <w:bottom w:w="0" w:type="dxa"/>
              <w:right w:w="57" w:type="dxa"/>
            </w:tcMar>
            <w:vAlign w:val="center"/>
          </w:tcPr>
          <w:p w14:paraId="126C3BA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&gt;99</w:t>
            </w:r>
          </w:p>
        </w:tc>
        <w:tc>
          <w:tcPr>
            <w:tcW w:w="598" w:type="pct"/>
            <w:tcBorders>
              <w:tl2br w:val="nil"/>
              <w:tr2bl w:val="nil"/>
            </w:tcBorders>
            <w:noWrap w:val="0"/>
            <w:tcMar>
              <w:top w:w="0" w:type="dxa"/>
              <w:left w:w="57" w:type="dxa"/>
              <w:bottom w:w="0" w:type="dxa"/>
              <w:right w:w="57" w:type="dxa"/>
            </w:tcMar>
            <w:vAlign w:val="center"/>
          </w:tcPr>
          <w:p w14:paraId="402451D0">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&gt;99</w:t>
            </w:r>
          </w:p>
        </w:tc>
        <w:tc>
          <w:tcPr>
            <w:tcW w:w="691" w:type="pct"/>
            <w:tcBorders>
              <w:tl2br w:val="nil"/>
              <w:tr2bl w:val="nil"/>
            </w:tcBorders>
            <w:noWrap w:val="0"/>
            <w:tcMar>
              <w:top w:w="0" w:type="dxa"/>
              <w:left w:w="57" w:type="dxa"/>
              <w:bottom w:w="0" w:type="dxa"/>
              <w:right w:w="57" w:type="dxa"/>
            </w:tcMar>
            <w:vAlign w:val="center"/>
          </w:tcPr>
          <w:p w14:paraId="4F81F175">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100</w:t>
            </w:r>
          </w:p>
        </w:tc>
        <w:tc>
          <w:tcPr>
            <w:tcW w:w="598" w:type="pct"/>
            <w:tcBorders>
              <w:tl2br w:val="nil"/>
              <w:tr2bl w:val="nil"/>
            </w:tcBorders>
            <w:noWrap w:val="0"/>
            <w:tcMar>
              <w:top w:w="0" w:type="dxa"/>
              <w:left w:w="57" w:type="dxa"/>
              <w:bottom w:w="0" w:type="dxa"/>
              <w:right w:w="57" w:type="dxa"/>
            </w:tcMar>
            <w:vAlign w:val="center"/>
          </w:tcPr>
          <w:p w14:paraId="064C9089">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&gt;99</w:t>
            </w:r>
          </w:p>
        </w:tc>
        <w:tc>
          <w:tcPr>
            <w:tcW w:w="456" w:type="pct"/>
            <w:vMerge w:val="continue"/>
            <w:tcBorders>
              <w:tl2br w:val="nil"/>
              <w:tr2bl w:val="nil"/>
            </w:tcBorders>
            <w:noWrap w:val="0"/>
            <w:tcMar>
              <w:top w:w="0" w:type="dxa"/>
              <w:left w:w="57" w:type="dxa"/>
              <w:bottom w:w="0" w:type="dxa"/>
              <w:right w:w="57" w:type="dxa"/>
            </w:tcMar>
            <w:vAlign w:val="center"/>
          </w:tcPr>
          <w:p w14:paraId="049FEECF">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c>
          <w:tcPr>
            <w:tcW w:w="694" w:type="pct"/>
            <w:vMerge w:val="continue"/>
            <w:tcBorders>
              <w:tl2br w:val="nil"/>
              <w:tr2bl w:val="nil"/>
            </w:tcBorders>
            <w:noWrap w:val="0"/>
            <w:tcMar>
              <w:top w:w="0" w:type="dxa"/>
              <w:left w:w="57" w:type="dxa"/>
              <w:bottom w:w="0" w:type="dxa"/>
              <w:right w:w="57" w:type="dxa"/>
            </w:tcMar>
            <w:vAlign w:val="center"/>
          </w:tcPr>
          <w:p w14:paraId="16430902">
            <w:pPr>
              <w:keepNext w:val="0"/>
              <w:keepLines w:val="0"/>
              <w:pageBreakBefore w:val="0"/>
              <w:widowControl/>
              <w:kinsoku/>
              <w:wordWrap/>
              <w:overflowPunct/>
              <w:topLinePunct w:val="0"/>
              <w:autoSpaceDE/>
              <w:autoSpaceDN/>
              <w:bidi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p>
        </w:tc>
      </w:tr>
      <w:tr w14:paraId="04857C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5000" w:type="pct"/>
            <w:gridSpan w:val="9"/>
            <w:tcBorders>
              <w:tl2br w:val="nil"/>
              <w:tr2bl w:val="nil"/>
            </w:tcBorders>
            <w:noWrap/>
            <w:tcMar>
              <w:top w:w="0" w:type="dxa"/>
              <w:left w:w="57" w:type="dxa"/>
              <w:bottom w:w="0" w:type="dxa"/>
              <w:right w:w="57" w:type="dxa"/>
            </w:tcMar>
            <w:vAlign w:val="center"/>
          </w:tcPr>
          <w:p w14:paraId="7B4A2A1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十四五</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规划外指标</w:t>
            </w:r>
          </w:p>
        </w:tc>
      </w:tr>
      <w:tr w14:paraId="547F2E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7F621C1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26</w:t>
            </w:r>
          </w:p>
        </w:tc>
        <w:tc>
          <w:tcPr>
            <w:tcW w:w="1087" w:type="pct"/>
            <w:gridSpan w:val="2"/>
            <w:tcBorders>
              <w:tl2br w:val="nil"/>
              <w:tr2bl w:val="nil"/>
            </w:tcBorders>
            <w:noWrap w:val="0"/>
            <w:tcMar>
              <w:top w:w="0" w:type="dxa"/>
              <w:left w:w="57" w:type="dxa"/>
              <w:bottom w:w="0" w:type="dxa"/>
              <w:right w:w="57" w:type="dxa"/>
            </w:tcMar>
            <w:vAlign w:val="center"/>
          </w:tcPr>
          <w:p w14:paraId="1ECD057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区级一般公共预算收入增速（%）</w:t>
            </w:r>
          </w:p>
        </w:tc>
        <w:tc>
          <w:tcPr>
            <w:tcW w:w="632" w:type="pct"/>
            <w:tcBorders>
              <w:tl2br w:val="nil"/>
              <w:tr2bl w:val="nil"/>
            </w:tcBorders>
            <w:noWrap w:val="0"/>
            <w:tcMar>
              <w:top w:w="0" w:type="dxa"/>
              <w:left w:w="57" w:type="dxa"/>
              <w:bottom w:w="0" w:type="dxa"/>
              <w:right w:w="57" w:type="dxa"/>
            </w:tcMar>
            <w:vAlign w:val="center"/>
          </w:tcPr>
          <w:p w14:paraId="66C663E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2A94FDB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w:t>
            </w:r>
          </w:p>
        </w:tc>
        <w:tc>
          <w:tcPr>
            <w:tcW w:w="691" w:type="pct"/>
            <w:tcBorders>
              <w:tl2br w:val="nil"/>
              <w:tr2bl w:val="nil"/>
            </w:tcBorders>
            <w:noWrap w:val="0"/>
            <w:tcMar>
              <w:top w:w="0" w:type="dxa"/>
              <w:left w:w="57" w:type="dxa"/>
              <w:bottom w:w="0" w:type="dxa"/>
              <w:right w:w="57" w:type="dxa"/>
            </w:tcMar>
            <w:vAlign w:val="center"/>
          </w:tcPr>
          <w:p w14:paraId="013BC4C0">
            <w:pPr>
              <w:keepNext w:val="0"/>
              <w:keepLines w:val="0"/>
              <w:pageBreakBefore w:val="0"/>
              <w:widowControl/>
              <w:kinsoku/>
              <w:wordWrap/>
              <w:overflowPunct/>
              <w:topLinePunct w:val="0"/>
              <w:autoSpaceDE/>
              <w:autoSpaceDN/>
              <w:bidi w:val="0"/>
              <w:adjustRightInd w:val="0"/>
              <w:snapToGrid w:val="0"/>
              <w:spacing w:line="300" w:lineRule="exact"/>
              <w:jc w:val="center"/>
              <w:rPr>
                <w:rFonts w:hint="default"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6</w:t>
            </w:r>
          </w:p>
        </w:tc>
        <w:tc>
          <w:tcPr>
            <w:tcW w:w="598" w:type="pct"/>
            <w:tcBorders>
              <w:tl2br w:val="nil"/>
              <w:tr2bl w:val="nil"/>
            </w:tcBorders>
            <w:noWrap w:val="0"/>
            <w:tcMar>
              <w:top w:w="0" w:type="dxa"/>
              <w:left w:w="57" w:type="dxa"/>
              <w:bottom w:w="0" w:type="dxa"/>
              <w:right w:w="57" w:type="dxa"/>
            </w:tcMar>
            <w:vAlign w:val="center"/>
          </w:tcPr>
          <w:p w14:paraId="2F79147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p>
        </w:tc>
        <w:tc>
          <w:tcPr>
            <w:tcW w:w="456" w:type="pct"/>
            <w:tcBorders>
              <w:tl2br w:val="nil"/>
              <w:tr2bl w:val="nil"/>
            </w:tcBorders>
            <w:noWrap w:val="0"/>
            <w:tcMar>
              <w:top w:w="0" w:type="dxa"/>
              <w:left w:w="57" w:type="dxa"/>
              <w:bottom w:w="0" w:type="dxa"/>
              <w:right w:w="57" w:type="dxa"/>
            </w:tcMar>
            <w:vAlign w:val="center"/>
          </w:tcPr>
          <w:p w14:paraId="7CA64B8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0" w:type="dxa"/>
              <w:left w:w="57" w:type="dxa"/>
              <w:bottom w:w="0" w:type="dxa"/>
              <w:right w:w="57" w:type="dxa"/>
            </w:tcMar>
            <w:vAlign w:val="center"/>
          </w:tcPr>
          <w:p w14:paraId="38DFD55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区财政局</w:t>
            </w:r>
          </w:p>
        </w:tc>
      </w:tr>
      <w:tr w14:paraId="1F095F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54175D8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27</w:t>
            </w:r>
          </w:p>
        </w:tc>
        <w:tc>
          <w:tcPr>
            <w:tcW w:w="1087" w:type="pct"/>
            <w:gridSpan w:val="2"/>
            <w:tcBorders>
              <w:tl2br w:val="nil"/>
              <w:tr2bl w:val="nil"/>
            </w:tcBorders>
            <w:noWrap w:val="0"/>
            <w:tcMar>
              <w:top w:w="0" w:type="dxa"/>
              <w:left w:w="57" w:type="dxa"/>
              <w:bottom w:w="0" w:type="dxa"/>
              <w:right w:w="57" w:type="dxa"/>
            </w:tcMar>
            <w:vAlign w:val="center"/>
          </w:tcPr>
          <w:p w14:paraId="5A6D5DD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spacing w:val="-6"/>
                <w:kern w:val="0"/>
                <w:sz w:val="21"/>
                <w:szCs w:val="21"/>
                <w:highlight w:val="none"/>
                <w14:textFill>
                  <w14:solidFill>
                    <w14:schemeClr w14:val="tx1"/>
                  </w14:solidFill>
                </w14:textFill>
              </w:rPr>
              <w:t>规模以上高新技术企业总收入增速（%）</w:t>
            </w:r>
          </w:p>
        </w:tc>
        <w:tc>
          <w:tcPr>
            <w:tcW w:w="632" w:type="pct"/>
            <w:tcBorders>
              <w:tl2br w:val="nil"/>
              <w:tr2bl w:val="nil"/>
            </w:tcBorders>
            <w:noWrap w:val="0"/>
            <w:tcMar>
              <w:top w:w="0" w:type="dxa"/>
              <w:left w:w="57" w:type="dxa"/>
              <w:bottom w:w="0" w:type="dxa"/>
              <w:right w:w="57" w:type="dxa"/>
            </w:tcMar>
            <w:vAlign w:val="center"/>
          </w:tcPr>
          <w:p w14:paraId="316A272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3393B29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p>
        </w:tc>
        <w:tc>
          <w:tcPr>
            <w:tcW w:w="691" w:type="pct"/>
            <w:tcBorders>
              <w:tl2br w:val="nil"/>
              <w:tr2bl w:val="nil"/>
            </w:tcBorders>
            <w:noWrap w:val="0"/>
            <w:tcMar>
              <w:top w:w="0" w:type="dxa"/>
              <w:left w:w="28" w:type="dxa"/>
              <w:bottom w:w="0" w:type="dxa"/>
              <w:right w:w="28" w:type="dxa"/>
            </w:tcMar>
            <w:vAlign w:val="center"/>
          </w:tcPr>
          <w:p w14:paraId="7FBCAAFA">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w:t>
            </w:r>
          </w:p>
        </w:tc>
        <w:tc>
          <w:tcPr>
            <w:tcW w:w="598" w:type="pct"/>
            <w:tcBorders>
              <w:tl2br w:val="nil"/>
              <w:tr2bl w:val="nil"/>
            </w:tcBorders>
            <w:noWrap w:val="0"/>
            <w:tcMar>
              <w:top w:w="0" w:type="dxa"/>
              <w:left w:w="28" w:type="dxa"/>
              <w:bottom w:w="0" w:type="dxa"/>
              <w:right w:w="28" w:type="dxa"/>
            </w:tcMar>
            <w:vAlign w:val="center"/>
          </w:tcPr>
          <w:p w14:paraId="17ACFC34">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7</w:t>
            </w:r>
          </w:p>
          <w:p w14:paraId="05F4C0C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（调整前口径）</w:t>
            </w:r>
          </w:p>
        </w:tc>
        <w:tc>
          <w:tcPr>
            <w:tcW w:w="456" w:type="pct"/>
            <w:tcBorders>
              <w:tl2br w:val="nil"/>
              <w:tr2bl w:val="nil"/>
            </w:tcBorders>
            <w:noWrap w:val="0"/>
            <w:tcMar>
              <w:top w:w="0" w:type="dxa"/>
              <w:left w:w="57" w:type="dxa"/>
              <w:bottom w:w="0" w:type="dxa"/>
              <w:right w:w="57" w:type="dxa"/>
            </w:tcMar>
            <w:vAlign w:val="center"/>
          </w:tcPr>
          <w:p w14:paraId="162DB030">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0" w:type="dxa"/>
              <w:left w:w="57" w:type="dxa"/>
              <w:bottom w:w="0" w:type="dxa"/>
              <w:right w:w="57" w:type="dxa"/>
            </w:tcMar>
            <w:vAlign w:val="center"/>
          </w:tcPr>
          <w:p w14:paraId="635CA60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中关村</w:t>
            </w:r>
          </w:p>
          <w:p w14:paraId="6DDAAE0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科学城</w:t>
            </w:r>
          </w:p>
          <w:p w14:paraId="2F04883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管委会</w:t>
            </w:r>
          </w:p>
        </w:tc>
      </w:tr>
      <w:tr w14:paraId="25609D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381A25E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28</w:t>
            </w:r>
          </w:p>
        </w:tc>
        <w:tc>
          <w:tcPr>
            <w:tcW w:w="1087" w:type="pct"/>
            <w:gridSpan w:val="2"/>
            <w:tcBorders>
              <w:tl2br w:val="nil"/>
              <w:tr2bl w:val="nil"/>
            </w:tcBorders>
            <w:noWrap w:val="0"/>
            <w:tcMar>
              <w:top w:w="0" w:type="dxa"/>
              <w:left w:w="57" w:type="dxa"/>
              <w:bottom w:w="0" w:type="dxa"/>
              <w:right w:w="57" w:type="dxa"/>
            </w:tcMar>
            <w:vAlign w:val="center"/>
          </w:tcPr>
          <w:p w14:paraId="1A5CEF0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污水处理率（%）</w:t>
            </w:r>
          </w:p>
        </w:tc>
        <w:tc>
          <w:tcPr>
            <w:tcW w:w="632" w:type="pct"/>
            <w:tcBorders>
              <w:tl2br w:val="nil"/>
              <w:tr2bl w:val="nil"/>
            </w:tcBorders>
            <w:noWrap w:val="0"/>
            <w:tcMar>
              <w:top w:w="0" w:type="dxa"/>
              <w:left w:w="57" w:type="dxa"/>
              <w:bottom w:w="0" w:type="dxa"/>
              <w:right w:w="57" w:type="dxa"/>
            </w:tcMar>
            <w:vAlign w:val="center"/>
          </w:tcPr>
          <w:p w14:paraId="2D930A7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0B0648BB">
            <w:pPr>
              <w:keepNext w:val="0"/>
              <w:keepLines w:val="0"/>
              <w:pageBreakBefore w:val="0"/>
              <w:kinsoku/>
              <w:wordWrap/>
              <w:overflowPunct/>
              <w:topLinePunct w:val="0"/>
              <w:autoSpaceDE/>
              <w:autoSpaceDN/>
              <w:bidi w:val="0"/>
              <w:spacing w:line="3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99.7</w:t>
            </w:r>
          </w:p>
        </w:tc>
        <w:tc>
          <w:tcPr>
            <w:tcW w:w="691" w:type="pct"/>
            <w:tcBorders>
              <w:tl2br w:val="nil"/>
              <w:tr2bl w:val="nil"/>
            </w:tcBorders>
            <w:noWrap w:val="0"/>
            <w:tcMar>
              <w:top w:w="0" w:type="dxa"/>
              <w:left w:w="57" w:type="dxa"/>
              <w:bottom w:w="0" w:type="dxa"/>
              <w:right w:w="57" w:type="dxa"/>
            </w:tcMar>
            <w:vAlign w:val="center"/>
          </w:tcPr>
          <w:p w14:paraId="76D6EA0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99.7</w:t>
            </w:r>
          </w:p>
        </w:tc>
        <w:tc>
          <w:tcPr>
            <w:tcW w:w="598" w:type="pct"/>
            <w:tcBorders>
              <w:tl2br w:val="nil"/>
              <w:tr2bl w:val="nil"/>
            </w:tcBorders>
            <w:noWrap w:val="0"/>
            <w:tcMar>
              <w:top w:w="0" w:type="dxa"/>
              <w:left w:w="57" w:type="dxa"/>
              <w:bottom w:w="0" w:type="dxa"/>
              <w:right w:w="57" w:type="dxa"/>
            </w:tcMar>
            <w:vAlign w:val="center"/>
          </w:tcPr>
          <w:p w14:paraId="4F97901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99.7</w:t>
            </w:r>
          </w:p>
        </w:tc>
        <w:tc>
          <w:tcPr>
            <w:tcW w:w="456" w:type="pct"/>
            <w:tcBorders>
              <w:tl2br w:val="nil"/>
              <w:tr2bl w:val="nil"/>
            </w:tcBorders>
            <w:noWrap w:val="0"/>
            <w:tcMar>
              <w:top w:w="0" w:type="dxa"/>
              <w:left w:w="57" w:type="dxa"/>
              <w:bottom w:w="0" w:type="dxa"/>
              <w:right w:w="57" w:type="dxa"/>
            </w:tcMar>
            <w:vAlign w:val="center"/>
          </w:tcPr>
          <w:p w14:paraId="46B032C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约束性</w:t>
            </w:r>
          </w:p>
        </w:tc>
        <w:tc>
          <w:tcPr>
            <w:tcW w:w="694" w:type="pct"/>
            <w:tcBorders>
              <w:tl2br w:val="nil"/>
              <w:tr2bl w:val="nil"/>
            </w:tcBorders>
            <w:noWrap w:val="0"/>
            <w:tcMar>
              <w:top w:w="0" w:type="dxa"/>
              <w:left w:w="57" w:type="dxa"/>
              <w:bottom w:w="0" w:type="dxa"/>
              <w:right w:w="57" w:type="dxa"/>
            </w:tcMar>
            <w:vAlign w:val="center"/>
          </w:tcPr>
          <w:p w14:paraId="610F0DA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区水务局</w:t>
            </w:r>
          </w:p>
        </w:tc>
      </w:tr>
      <w:tr w14:paraId="619C9C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11BA28A1">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29</w:t>
            </w:r>
          </w:p>
        </w:tc>
        <w:tc>
          <w:tcPr>
            <w:tcW w:w="1087" w:type="pct"/>
            <w:gridSpan w:val="2"/>
            <w:tcBorders>
              <w:tl2br w:val="nil"/>
              <w:tr2bl w:val="nil"/>
            </w:tcBorders>
            <w:noWrap w:val="0"/>
            <w:tcMar>
              <w:top w:w="0" w:type="dxa"/>
              <w:left w:w="57" w:type="dxa"/>
              <w:bottom w:w="0" w:type="dxa"/>
              <w:right w:w="57" w:type="dxa"/>
            </w:tcMar>
            <w:vAlign w:val="center"/>
          </w:tcPr>
          <w:p w14:paraId="68CC256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每千名常住人口养老床位数（张）</w:t>
            </w:r>
          </w:p>
        </w:tc>
        <w:tc>
          <w:tcPr>
            <w:tcW w:w="632" w:type="pct"/>
            <w:tcBorders>
              <w:tl2br w:val="nil"/>
              <w:tr2bl w:val="nil"/>
            </w:tcBorders>
            <w:noWrap w:val="0"/>
            <w:tcMar>
              <w:top w:w="0" w:type="dxa"/>
              <w:left w:w="57" w:type="dxa"/>
              <w:bottom w:w="0" w:type="dxa"/>
              <w:right w:w="57" w:type="dxa"/>
            </w:tcMar>
            <w:vAlign w:val="center"/>
          </w:tcPr>
          <w:p w14:paraId="46020FA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1187BAA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6</w:t>
            </w:r>
          </w:p>
        </w:tc>
        <w:tc>
          <w:tcPr>
            <w:tcW w:w="691" w:type="pct"/>
            <w:tcBorders>
              <w:tl2br w:val="nil"/>
              <w:tr2bl w:val="nil"/>
            </w:tcBorders>
            <w:noWrap w:val="0"/>
            <w:tcMar>
              <w:top w:w="0" w:type="dxa"/>
              <w:left w:w="57" w:type="dxa"/>
              <w:bottom w:w="0" w:type="dxa"/>
              <w:right w:w="57" w:type="dxa"/>
            </w:tcMar>
            <w:vAlign w:val="center"/>
          </w:tcPr>
          <w:p w14:paraId="6EAFAC3B">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7.3</w:t>
            </w:r>
          </w:p>
        </w:tc>
        <w:tc>
          <w:tcPr>
            <w:tcW w:w="598" w:type="pct"/>
            <w:tcBorders>
              <w:tl2br w:val="nil"/>
              <w:tr2bl w:val="nil"/>
            </w:tcBorders>
            <w:noWrap w:val="0"/>
            <w:tcMar>
              <w:top w:w="0" w:type="dxa"/>
              <w:left w:w="57" w:type="dxa"/>
              <w:bottom w:w="0" w:type="dxa"/>
              <w:right w:w="57" w:type="dxa"/>
            </w:tcMar>
            <w:vAlign w:val="center"/>
          </w:tcPr>
          <w:p w14:paraId="4FCD621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7.3</w:t>
            </w:r>
          </w:p>
        </w:tc>
        <w:tc>
          <w:tcPr>
            <w:tcW w:w="456" w:type="pct"/>
            <w:tcBorders>
              <w:tl2br w:val="nil"/>
              <w:tr2bl w:val="nil"/>
            </w:tcBorders>
            <w:noWrap w:val="0"/>
            <w:tcMar>
              <w:top w:w="0" w:type="dxa"/>
              <w:left w:w="57" w:type="dxa"/>
              <w:bottom w:w="0" w:type="dxa"/>
              <w:right w:w="57" w:type="dxa"/>
            </w:tcMar>
            <w:vAlign w:val="center"/>
          </w:tcPr>
          <w:p w14:paraId="622E7C19">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0" w:type="dxa"/>
              <w:left w:w="57" w:type="dxa"/>
              <w:bottom w:w="0" w:type="dxa"/>
              <w:right w:w="57" w:type="dxa"/>
            </w:tcMar>
            <w:vAlign w:val="center"/>
          </w:tcPr>
          <w:p w14:paraId="6990891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区民政局</w:t>
            </w:r>
          </w:p>
        </w:tc>
      </w:tr>
      <w:tr w14:paraId="30DFD0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1F2B99B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30</w:t>
            </w:r>
          </w:p>
        </w:tc>
        <w:tc>
          <w:tcPr>
            <w:tcW w:w="1087" w:type="pct"/>
            <w:gridSpan w:val="2"/>
            <w:tcBorders>
              <w:tl2br w:val="nil"/>
              <w:tr2bl w:val="nil"/>
            </w:tcBorders>
            <w:noWrap w:val="0"/>
            <w:tcMar>
              <w:top w:w="0" w:type="dxa"/>
              <w:left w:w="57" w:type="dxa"/>
              <w:bottom w:w="0" w:type="dxa"/>
              <w:right w:w="57" w:type="dxa"/>
            </w:tcMar>
            <w:vAlign w:val="center"/>
          </w:tcPr>
          <w:p w14:paraId="09CB6233">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每万名常住人口全科医生数（人）</w:t>
            </w:r>
          </w:p>
        </w:tc>
        <w:tc>
          <w:tcPr>
            <w:tcW w:w="632" w:type="pct"/>
            <w:tcBorders>
              <w:tl2br w:val="nil"/>
              <w:tr2bl w:val="nil"/>
            </w:tcBorders>
            <w:noWrap w:val="0"/>
            <w:tcMar>
              <w:top w:w="0" w:type="dxa"/>
              <w:left w:w="57" w:type="dxa"/>
              <w:bottom w:w="0" w:type="dxa"/>
              <w:right w:w="57" w:type="dxa"/>
            </w:tcMar>
            <w:vAlign w:val="center"/>
          </w:tcPr>
          <w:p w14:paraId="598FBED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1D730DDC">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SA"/>
                <w14:textFill>
                  <w14:solidFill>
                    <w14:schemeClr w14:val="tx1"/>
                  </w14:solidFill>
                </w14:textFill>
              </w:rPr>
              <w:t>3.5</w:t>
            </w:r>
          </w:p>
        </w:tc>
        <w:tc>
          <w:tcPr>
            <w:tcW w:w="691" w:type="pct"/>
            <w:tcBorders>
              <w:tl2br w:val="nil"/>
              <w:tr2bl w:val="nil"/>
            </w:tcBorders>
            <w:noWrap w:val="0"/>
            <w:tcMar>
              <w:top w:w="0" w:type="dxa"/>
              <w:left w:w="57" w:type="dxa"/>
              <w:bottom w:w="0" w:type="dxa"/>
              <w:right w:w="57" w:type="dxa"/>
            </w:tcMar>
            <w:vAlign w:val="center"/>
          </w:tcPr>
          <w:p w14:paraId="3DD0EE8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4.2</w:t>
            </w:r>
          </w:p>
        </w:tc>
        <w:tc>
          <w:tcPr>
            <w:tcW w:w="598" w:type="pct"/>
            <w:tcBorders>
              <w:tl2br w:val="nil"/>
              <w:tr2bl w:val="nil"/>
            </w:tcBorders>
            <w:noWrap w:val="0"/>
            <w:tcMar>
              <w:top w:w="0" w:type="dxa"/>
              <w:left w:w="57" w:type="dxa"/>
              <w:bottom w:w="0" w:type="dxa"/>
              <w:right w:w="57" w:type="dxa"/>
            </w:tcMar>
            <w:vAlign w:val="center"/>
          </w:tcPr>
          <w:p w14:paraId="50124DD2">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4.4</w:t>
            </w:r>
          </w:p>
        </w:tc>
        <w:tc>
          <w:tcPr>
            <w:tcW w:w="456" w:type="pct"/>
            <w:tcBorders>
              <w:tl2br w:val="nil"/>
              <w:tr2bl w:val="nil"/>
            </w:tcBorders>
            <w:noWrap w:val="0"/>
            <w:tcMar>
              <w:top w:w="0" w:type="dxa"/>
              <w:left w:w="57" w:type="dxa"/>
              <w:bottom w:w="0" w:type="dxa"/>
              <w:right w:w="57" w:type="dxa"/>
            </w:tcMar>
            <w:vAlign w:val="center"/>
          </w:tcPr>
          <w:p w14:paraId="3A5B2DF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预期性</w:t>
            </w:r>
          </w:p>
        </w:tc>
        <w:tc>
          <w:tcPr>
            <w:tcW w:w="694" w:type="pct"/>
            <w:tcBorders>
              <w:tl2br w:val="nil"/>
              <w:tr2bl w:val="nil"/>
            </w:tcBorders>
            <w:noWrap w:val="0"/>
            <w:tcMar>
              <w:top w:w="0" w:type="dxa"/>
              <w:left w:w="57" w:type="dxa"/>
              <w:bottom w:w="0" w:type="dxa"/>
              <w:right w:w="57" w:type="dxa"/>
            </w:tcMar>
            <w:vAlign w:val="center"/>
          </w:tcPr>
          <w:p w14:paraId="0B3CDD7D">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区卫生</w:t>
            </w:r>
          </w:p>
          <w:p w14:paraId="141A3B5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健康委</w:t>
            </w:r>
          </w:p>
        </w:tc>
      </w:tr>
      <w:tr w14:paraId="13AAC1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28" w:type="dxa"/>
            <w:bottom w:w="0" w:type="dxa"/>
            <w:right w:w="28" w:type="dxa"/>
          </w:tblCellMar>
        </w:tblPrEx>
        <w:trPr>
          <w:cantSplit/>
          <w:trHeight w:val="567" w:hRule="atLeast"/>
          <w:jc w:val="center"/>
        </w:trPr>
        <w:tc>
          <w:tcPr>
            <w:tcW w:w="239" w:type="pct"/>
            <w:tcBorders>
              <w:tl2br w:val="nil"/>
              <w:tr2bl w:val="nil"/>
            </w:tcBorders>
            <w:noWrap/>
            <w:tcMar>
              <w:top w:w="0" w:type="dxa"/>
              <w:left w:w="57" w:type="dxa"/>
              <w:bottom w:w="0" w:type="dxa"/>
              <w:right w:w="57" w:type="dxa"/>
            </w:tcMar>
            <w:vAlign w:val="center"/>
          </w:tcPr>
          <w:p w14:paraId="3C98A67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31</w:t>
            </w:r>
          </w:p>
        </w:tc>
        <w:tc>
          <w:tcPr>
            <w:tcW w:w="1087" w:type="pct"/>
            <w:gridSpan w:val="2"/>
            <w:tcBorders>
              <w:tl2br w:val="nil"/>
              <w:tr2bl w:val="nil"/>
            </w:tcBorders>
            <w:noWrap w:val="0"/>
            <w:tcMar>
              <w:top w:w="0" w:type="dxa"/>
              <w:left w:w="57" w:type="dxa"/>
              <w:bottom w:w="0" w:type="dxa"/>
              <w:right w:w="57" w:type="dxa"/>
            </w:tcMar>
            <w:vAlign w:val="center"/>
          </w:tcPr>
          <w:p w14:paraId="6FD9F81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新增停车位（个）</w:t>
            </w:r>
          </w:p>
        </w:tc>
        <w:tc>
          <w:tcPr>
            <w:tcW w:w="632" w:type="pct"/>
            <w:tcBorders>
              <w:tl2br w:val="nil"/>
              <w:tr2bl w:val="nil"/>
            </w:tcBorders>
            <w:noWrap w:val="0"/>
            <w:tcMar>
              <w:top w:w="0" w:type="dxa"/>
              <w:left w:w="57" w:type="dxa"/>
              <w:bottom w:w="0" w:type="dxa"/>
              <w:right w:w="57" w:type="dxa"/>
            </w:tcMar>
            <w:vAlign w:val="center"/>
          </w:tcPr>
          <w:p w14:paraId="2088FCDF">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p>
        </w:tc>
        <w:tc>
          <w:tcPr>
            <w:tcW w:w="598" w:type="pct"/>
            <w:tcBorders>
              <w:tl2br w:val="nil"/>
              <w:tr2bl w:val="nil"/>
            </w:tcBorders>
            <w:noWrap w:val="0"/>
            <w:tcMar>
              <w:top w:w="0" w:type="dxa"/>
              <w:left w:w="57" w:type="dxa"/>
              <w:bottom w:w="0" w:type="dxa"/>
              <w:right w:w="57" w:type="dxa"/>
            </w:tcMar>
            <w:vAlign w:val="center"/>
          </w:tcPr>
          <w:p w14:paraId="4C038B1E">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5000</w:t>
            </w:r>
          </w:p>
        </w:tc>
        <w:tc>
          <w:tcPr>
            <w:tcW w:w="691" w:type="pct"/>
            <w:tcBorders>
              <w:tl2br w:val="nil"/>
              <w:tr2bl w:val="nil"/>
            </w:tcBorders>
            <w:noWrap w:val="0"/>
            <w:tcMar>
              <w:top w:w="0" w:type="dxa"/>
              <w:left w:w="57" w:type="dxa"/>
              <w:bottom w:w="0" w:type="dxa"/>
              <w:right w:w="57" w:type="dxa"/>
            </w:tcMar>
            <w:vAlign w:val="center"/>
          </w:tcPr>
          <w:p w14:paraId="64BBA4A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7400</w:t>
            </w:r>
          </w:p>
        </w:tc>
        <w:tc>
          <w:tcPr>
            <w:tcW w:w="598" w:type="pct"/>
            <w:tcBorders>
              <w:tl2br w:val="nil"/>
              <w:tr2bl w:val="nil"/>
            </w:tcBorders>
            <w:noWrap w:val="0"/>
            <w:tcMar>
              <w:top w:w="0" w:type="dxa"/>
              <w:left w:w="57" w:type="dxa"/>
              <w:bottom w:w="0" w:type="dxa"/>
              <w:right w:w="57" w:type="dxa"/>
            </w:tcMar>
            <w:vAlign w:val="center"/>
          </w:tcPr>
          <w:p w14:paraId="27A08EA6">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8000</w:t>
            </w:r>
          </w:p>
        </w:tc>
        <w:tc>
          <w:tcPr>
            <w:tcW w:w="456" w:type="pct"/>
            <w:tcBorders>
              <w:tl2br w:val="nil"/>
              <w:tr2bl w:val="nil"/>
            </w:tcBorders>
            <w:noWrap w:val="0"/>
            <w:tcMar>
              <w:top w:w="0" w:type="dxa"/>
              <w:left w:w="57" w:type="dxa"/>
              <w:bottom w:w="0" w:type="dxa"/>
              <w:right w:w="57" w:type="dxa"/>
            </w:tcMar>
            <w:vAlign w:val="center"/>
          </w:tcPr>
          <w:p w14:paraId="1298D625">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预期性</w:t>
            </w:r>
          </w:p>
        </w:tc>
        <w:tc>
          <w:tcPr>
            <w:tcW w:w="694" w:type="pct"/>
            <w:tcBorders>
              <w:tl2br w:val="nil"/>
              <w:tr2bl w:val="nil"/>
            </w:tcBorders>
            <w:noWrap w:val="0"/>
            <w:tcMar>
              <w:top w:w="0" w:type="dxa"/>
              <w:left w:w="57" w:type="dxa"/>
              <w:bottom w:w="0" w:type="dxa"/>
              <w:right w:w="57" w:type="dxa"/>
            </w:tcMar>
            <w:vAlign w:val="center"/>
          </w:tcPr>
          <w:p w14:paraId="30B764A8">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区城市</w:t>
            </w:r>
          </w:p>
          <w:p w14:paraId="1A695B17">
            <w:pPr>
              <w:keepNext w:val="0"/>
              <w:keepLines w:val="0"/>
              <w:pageBreakBefore w:val="0"/>
              <w:widowControl/>
              <w:kinsoku/>
              <w:wordWrap/>
              <w:overflowPunct/>
              <w:topLinePunct w:val="0"/>
              <w:autoSpaceDE/>
              <w:autoSpaceDN/>
              <w:bidi w:val="0"/>
              <w:adjustRightInd w:val="0"/>
              <w:snapToGrid w:val="0"/>
              <w:spacing w:line="30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管理委</w:t>
            </w:r>
          </w:p>
        </w:tc>
      </w:tr>
    </w:tbl>
    <w:p w14:paraId="7557EBA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highlight w:val="none"/>
          <w:u w:val="none" w:color="auto"/>
          <w:lang w:eastAsia="zh-CN"/>
          <w14:textFill>
            <w14:solidFill>
              <w14:schemeClr w14:val="tx1"/>
            </w14:solidFill>
          </w14:textFill>
        </w:rPr>
      </w:pPr>
    </w:p>
    <w:sectPr>
      <w:footerReference r:id="rId4" w:type="default"/>
      <w:pgSz w:w="11906" w:h="16838"/>
      <w:pgMar w:top="2098" w:right="1531" w:bottom="1984" w:left="1531" w:header="851" w:footer="1417" w:gutter="0"/>
      <w:pgBorders>
        <w:top w:val="none" w:sz="0" w:space="0"/>
        <w:left w:val="none" w:sz="0" w:space="0"/>
        <w:bottom w:val="none" w:sz="0" w:space="0"/>
        <w:right w:val="none" w:sz="0" w:space="0"/>
      </w:pgBorders>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4D940B6-2836-40BB-A402-026E3C514898}"/>
  </w:font>
  <w:font w:name="黑体">
    <w:panose1 w:val="02010609060101010101"/>
    <w:charset w:val="86"/>
    <w:family w:val="auto"/>
    <w:pitch w:val="default"/>
    <w:sig w:usb0="800002BF" w:usb1="38CF7CFA" w:usb2="00000016" w:usb3="00000000" w:csb0="00040001" w:csb1="00000000"/>
    <w:embedRegular r:id="rId2" w:fontKey="{10253392-DB50-4206-ADA7-7E141C2F431E}"/>
  </w:font>
  <w:font w:name="Courier New">
    <w:panose1 w:val="02070309020205020404"/>
    <w:charset w:val="01"/>
    <w:family w:val="modern"/>
    <w:pitch w:val="default"/>
    <w:sig w:usb0="E0002EFF" w:usb1="C0007843" w:usb2="00000009" w:usb3="00000000" w:csb0="400001FF" w:csb1="FFFF0000"/>
    <w:embedRegular r:id="rId3" w:fontKey="{B31F8D9C-713F-4EF3-8361-EE97F4C76B6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47065CC-D46A-4C78-A778-B7350A55696E}"/>
  </w:font>
  <w:font w:name="仿宋_GB2312">
    <w:panose1 w:val="02010609030101010101"/>
    <w:charset w:val="86"/>
    <w:family w:val="auto"/>
    <w:pitch w:val="default"/>
    <w:sig w:usb0="00000001" w:usb1="080E0000" w:usb2="00000000" w:usb3="00000000" w:csb0="00040000" w:csb1="00000000"/>
    <w:embedRegular r:id="rId5" w:fontKey="{92D74420-BAD8-4D9C-84CF-EC5AB1815E33}"/>
  </w:font>
  <w:font w:name="楷体_GB2312">
    <w:panose1 w:val="02010609030101010101"/>
    <w:charset w:val="86"/>
    <w:family w:val="auto"/>
    <w:pitch w:val="default"/>
    <w:sig w:usb0="00000001" w:usb1="080E0000" w:usb2="00000000" w:usb3="00000000" w:csb0="00040000" w:csb1="00000000"/>
    <w:embedRegular r:id="rId6" w:fontKey="{0E2C490F-F1A9-4B8C-A50B-8F5B35416676}"/>
  </w:font>
  <w:font w:name="方正小标宋简体">
    <w:panose1 w:val="02000000000000000000"/>
    <w:charset w:val="86"/>
    <w:family w:val="auto"/>
    <w:pitch w:val="default"/>
    <w:sig w:usb0="00000001" w:usb1="08000000" w:usb2="00000000" w:usb3="00000000" w:csb0="00040000" w:csb1="00000000"/>
    <w:embedRegular r:id="rId7" w:fontKey="{D49CC8AA-6101-47F0-9509-C31B1B4046D8}"/>
  </w:font>
  <w:font w:name="等线">
    <w:panose1 w:val="02010600030101010101"/>
    <w:charset w:val="86"/>
    <w:family w:val="auto"/>
    <w:pitch w:val="default"/>
    <w:sig w:usb0="A00002BF" w:usb1="38CF7CFA" w:usb2="00000016" w:usb3="00000000" w:csb0="0004000F" w:csb1="00000000"/>
    <w:embedRegular r:id="rId8" w:fontKey="{D94A2BF2-8346-4A8B-A064-66E98D2102F5}"/>
  </w:font>
  <w:font w:name="方正小标宋_GBK">
    <w:panose1 w:val="02000000000000000000"/>
    <w:charset w:val="86"/>
    <w:family w:val="auto"/>
    <w:pitch w:val="default"/>
    <w:sig w:usb0="A00002BF" w:usb1="38CF7CFA" w:usb2="00082016" w:usb3="00000000" w:csb0="00040001" w:csb1="00000000"/>
    <w:embedRegular r:id="rId9" w:fontKey="{16294C96-D5CB-4BD9-AF11-590B0C4C49D0}"/>
  </w:font>
  <w:font w:name="仿宋">
    <w:panose1 w:val="02010609060101010101"/>
    <w:charset w:val="86"/>
    <w:family w:val="modern"/>
    <w:pitch w:val="default"/>
    <w:sig w:usb0="800002BF" w:usb1="38CF7CFA" w:usb2="00000016" w:usb3="00000000" w:csb0="00040001" w:csb1="00000000"/>
    <w:embedRegular r:id="rId10" w:fontKey="{2B0F4AF5-A72F-45E7-BF28-D99586345A1A}"/>
  </w:font>
  <w:font w:name="微软雅黑">
    <w:panose1 w:val="020B0503020204020204"/>
    <w:charset w:val="86"/>
    <w:family w:val="auto"/>
    <w:pitch w:val="default"/>
    <w:sig w:usb0="80000287" w:usb1="2ACF3C50" w:usb2="00000016" w:usb3="00000000" w:csb0="0004001F" w:csb1="00000000"/>
    <w:embedRegular r:id="rId11" w:fontKey="{C993D3F8-1B61-4B45-92FC-134E375883F7}"/>
  </w:font>
  <w:font w:name="方正仿宋_GBK">
    <w:panose1 w:val="03000509000000000000"/>
    <w:charset w:val="86"/>
    <w:family w:val="roman"/>
    <w:pitch w:val="default"/>
    <w:sig w:usb0="00000001" w:usb1="080E0000" w:usb2="00000000" w:usb3="00000000" w:csb0="00040000" w:csb1="00000000"/>
    <w:embedRegular r:id="rId12" w:fontKey="{826AFB5A-1CAC-4B63-A2BA-5429DACD65BE}"/>
  </w:font>
  <w:font w:name="楷体">
    <w:panose1 w:val="02010609060101010101"/>
    <w:charset w:val="86"/>
    <w:family w:val="modern"/>
    <w:pitch w:val="default"/>
    <w:sig w:usb0="800002BF" w:usb1="38CF7CFA" w:usb2="00000016" w:usb3="00000000" w:csb0="00040001" w:csb1="00000000"/>
    <w:embedRegular r:id="rId13" w:fontKey="{88B6AB23-5661-4C9A-A8F9-3B223D73A4C7}"/>
  </w:font>
  <w:font w:name="华文中宋">
    <w:panose1 w:val="02010600040101010101"/>
    <w:charset w:val="86"/>
    <w:family w:val="auto"/>
    <w:pitch w:val="default"/>
    <w:sig w:usb0="00000287" w:usb1="080F0000" w:usb2="00000000" w:usb3="00000000" w:csb0="0004009F" w:csb1="DFD70000"/>
    <w:embedRegular r:id="rId14" w:fontKey="{A0C60133-1286-4D65-A3BE-9AA5280C0FD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00B7">
    <w:pPr>
      <w:pStyle w:val="1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1EF1E8">
                          <w:pPr>
                            <w:pStyle w:val="14"/>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4 -</w:t>
                          </w:r>
                          <w:r>
                            <w:rPr>
                              <w:rFonts w:hint="eastAsia" w:ascii="宋体" w:hAnsi="宋体" w:cs="宋体"/>
                              <w:sz w:val="28"/>
                              <w:szCs w:val="28"/>
                            </w:rPr>
                            <w:fldChar w:fldCharType="end"/>
                          </w:r>
                          <w:r>
                            <w:rPr>
                              <w:rFonts w:hint="eastAsia" w:ascii="宋体" w:hAnsi="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Kf18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0p/XyQEAAJkDAAAOAAAAAAAAAAEAIAAAAB4BAABkcnMvZTJvRG9j&#10;LnhtbFBLBQYAAAAABgAGAFkBAABZBQAAAAA=&#10;">
              <v:fill on="f" focussize="0,0"/>
              <v:stroke on="f"/>
              <v:imagedata o:title=""/>
              <o:lock v:ext="edit" aspectratio="f"/>
              <v:textbox inset="0mm,0mm,0mm,0mm" style="mso-fit-shape-to-text:t;">
                <w:txbxContent>
                  <w:p w14:paraId="301EF1E8">
                    <w:pPr>
                      <w:pStyle w:val="14"/>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4 -</w:t>
                    </w:r>
                    <w:r>
                      <w:rPr>
                        <w:rFonts w:hint="eastAsia" w:ascii="宋体" w:hAnsi="宋体" w:cs="宋体"/>
                        <w:sz w:val="28"/>
                        <w:szCs w:val="28"/>
                      </w:rPr>
                      <w:fldChar w:fldCharType="end"/>
                    </w:r>
                    <w:r>
                      <w:rPr>
                        <w:rFonts w:hint="eastAsia" w:ascii="宋体" w:hAnsi="宋体" w:cs="宋体"/>
                        <w:sz w:val="28"/>
                        <w:szCs w:val="28"/>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28056BD">
      <w:pPr>
        <w:widowControl w:val="0"/>
        <w:snapToGrid w:val="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vertAlign w:val="superscript"/>
          <w:lang w:val="en-US" w:eastAsia="zh-CN" w:bidi="ar-SA"/>
        </w:rPr>
        <w:footnoteRef/>
      </w:r>
      <w:r>
        <w:rPr>
          <w:rFonts w:hint="eastAsia" w:ascii="宋体" w:hAnsi="宋体" w:eastAsia="宋体" w:cs="宋体"/>
          <w:kern w:val="2"/>
          <w:sz w:val="21"/>
          <w:szCs w:val="21"/>
          <w:lang w:val="en-US" w:eastAsia="zh-CN" w:bidi="ar-SA"/>
        </w:rPr>
        <w:t xml:space="preserve"> 在海淀南部53平方公里人工智能街区内，五道口被谋划为“五道口先导区”，而东升大厦作为该区域的核心，被定义为人工智能发展的原点。围绕东升大厦的周边区域，集聚人工智能企业和创新人才社群，被视为面向未来的创新社区，即“</w:t>
      </w:r>
      <w:r>
        <w:rPr>
          <w:rFonts w:hint="eastAsia" w:ascii="宋体" w:hAnsi="宋体" w:cs="宋体"/>
          <w:kern w:val="2"/>
          <w:sz w:val="21"/>
          <w:szCs w:val="21"/>
          <w:lang w:val="en-US" w:eastAsia="zh-CN" w:bidi="ar-SA"/>
        </w:rPr>
        <w:t>海淀</w:t>
      </w:r>
      <w:r>
        <w:rPr>
          <w:rFonts w:hint="eastAsia" w:ascii="宋体" w:hAnsi="宋体" w:eastAsia="宋体" w:cs="宋体"/>
          <w:kern w:val="2"/>
          <w:sz w:val="21"/>
          <w:szCs w:val="21"/>
          <w:lang w:val="en-US" w:eastAsia="zh-CN" w:bidi="ar-SA"/>
        </w:rPr>
        <w:t>AI原点社区”。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983247"/>
    <w:multiLevelType w:val="singleLevel"/>
    <w:tmpl w:val="B498324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dit="readOnly" w:enforcement="0"/>
  <w:defaultTabStop w:val="420"/>
  <w:hyphenationZone w:val="360"/>
  <w:drawingGridHorizontalSpacing w:val="105"/>
  <w:drawingGridVerticalSpacing w:val="158"/>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xNWJiZjhhMmM5OGE0MTc5MTIxNjNiZWE2ODkxZjIifQ=="/>
  </w:docVars>
  <w:rsids>
    <w:rsidRoot w:val="001200DA"/>
    <w:rsid w:val="00000BB2"/>
    <w:rsid w:val="00004F47"/>
    <w:rsid w:val="00007CA1"/>
    <w:rsid w:val="00011589"/>
    <w:rsid w:val="00016A56"/>
    <w:rsid w:val="00016F92"/>
    <w:rsid w:val="000172B2"/>
    <w:rsid w:val="000172DC"/>
    <w:rsid w:val="00017D6C"/>
    <w:rsid w:val="0002096F"/>
    <w:rsid w:val="00023E0A"/>
    <w:rsid w:val="0002551C"/>
    <w:rsid w:val="00031186"/>
    <w:rsid w:val="00031D31"/>
    <w:rsid w:val="000320DB"/>
    <w:rsid w:val="00033AE8"/>
    <w:rsid w:val="00034F28"/>
    <w:rsid w:val="000353F0"/>
    <w:rsid w:val="00041C2E"/>
    <w:rsid w:val="00046144"/>
    <w:rsid w:val="000463AC"/>
    <w:rsid w:val="00046B96"/>
    <w:rsid w:val="000501D1"/>
    <w:rsid w:val="00052307"/>
    <w:rsid w:val="00053158"/>
    <w:rsid w:val="0005405A"/>
    <w:rsid w:val="000546D8"/>
    <w:rsid w:val="000551CA"/>
    <w:rsid w:val="00055590"/>
    <w:rsid w:val="00055EC0"/>
    <w:rsid w:val="000614B5"/>
    <w:rsid w:val="00063607"/>
    <w:rsid w:val="00063934"/>
    <w:rsid w:val="00067764"/>
    <w:rsid w:val="00067C42"/>
    <w:rsid w:val="00072F06"/>
    <w:rsid w:val="00073D58"/>
    <w:rsid w:val="000776A7"/>
    <w:rsid w:val="00081046"/>
    <w:rsid w:val="000815A0"/>
    <w:rsid w:val="00081641"/>
    <w:rsid w:val="00082A9F"/>
    <w:rsid w:val="00082AF8"/>
    <w:rsid w:val="00083D4B"/>
    <w:rsid w:val="0008449C"/>
    <w:rsid w:val="000848BF"/>
    <w:rsid w:val="00084AF7"/>
    <w:rsid w:val="00087664"/>
    <w:rsid w:val="0008793C"/>
    <w:rsid w:val="00091A1B"/>
    <w:rsid w:val="00093421"/>
    <w:rsid w:val="00094D45"/>
    <w:rsid w:val="00095A13"/>
    <w:rsid w:val="000977BE"/>
    <w:rsid w:val="000A1EB3"/>
    <w:rsid w:val="000A4BAB"/>
    <w:rsid w:val="000A4D01"/>
    <w:rsid w:val="000A55FD"/>
    <w:rsid w:val="000A74AD"/>
    <w:rsid w:val="000B237E"/>
    <w:rsid w:val="000B2CB9"/>
    <w:rsid w:val="000B4C6D"/>
    <w:rsid w:val="000B652C"/>
    <w:rsid w:val="000C4AB6"/>
    <w:rsid w:val="000C67FB"/>
    <w:rsid w:val="000D0441"/>
    <w:rsid w:val="000D2464"/>
    <w:rsid w:val="000D459F"/>
    <w:rsid w:val="000D75BE"/>
    <w:rsid w:val="000D76C0"/>
    <w:rsid w:val="000E00DF"/>
    <w:rsid w:val="000E12A7"/>
    <w:rsid w:val="000E2296"/>
    <w:rsid w:val="000F610A"/>
    <w:rsid w:val="00100426"/>
    <w:rsid w:val="00102D41"/>
    <w:rsid w:val="00102DC5"/>
    <w:rsid w:val="00103A5B"/>
    <w:rsid w:val="00107268"/>
    <w:rsid w:val="00107DC3"/>
    <w:rsid w:val="00110434"/>
    <w:rsid w:val="00110881"/>
    <w:rsid w:val="00111903"/>
    <w:rsid w:val="0011574B"/>
    <w:rsid w:val="001200DA"/>
    <w:rsid w:val="00131A66"/>
    <w:rsid w:val="001343F6"/>
    <w:rsid w:val="001369E9"/>
    <w:rsid w:val="00140AD6"/>
    <w:rsid w:val="0014187E"/>
    <w:rsid w:val="001424C5"/>
    <w:rsid w:val="001429F8"/>
    <w:rsid w:val="00143BDC"/>
    <w:rsid w:val="001445AD"/>
    <w:rsid w:val="00144BE3"/>
    <w:rsid w:val="00151B6E"/>
    <w:rsid w:val="00152DC4"/>
    <w:rsid w:val="0015489D"/>
    <w:rsid w:val="00154BB3"/>
    <w:rsid w:val="00156E24"/>
    <w:rsid w:val="00156E27"/>
    <w:rsid w:val="00157E52"/>
    <w:rsid w:val="001622C7"/>
    <w:rsid w:val="00163A27"/>
    <w:rsid w:val="0016433A"/>
    <w:rsid w:val="001676E6"/>
    <w:rsid w:val="00171BFA"/>
    <w:rsid w:val="00173A51"/>
    <w:rsid w:val="00174062"/>
    <w:rsid w:val="0017700D"/>
    <w:rsid w:val="001846A1"/>
    <w:rsid w:val="001847DD"/>
    <w:rsid w:val="00185784"/>
    <w:rsid w:val="001878D2"/>
    <w:rsid w:val="00187EB8"/>
    <w:rsid w:val="001938A0"/>
    <w:rsid w:val="001A0C1B"/>
    <w:rsid w:val="001A3D52"/>
    <w:rsid w:val="001A477F"/>
    <w:rsid w:val="001A4A14"/>
    <w:rsid w:val="001A563F"/>
    <w:rsid w:val="001A61DE"/>
    <w:rsid w:val="001A6616"/>
    <w:rsid w:val="001A752C"/>
    <w:rsid w:val="001B182F"/>
    <w:rsid w:val="001B18A5"/>
    <w:rsid w:val="001B260E"/>
    <w:rsid w:val="001B2CE0"/>
    <w:rsid w:val="001B3551"/>
    <w:rsid w:val="001B64F9"/>
    <w:rsid w:val="001C1941"/>
    <w:rsid w:val="001C34B1"/>
    <w:rsid w:val="001C58EE"/>
    <w:rsid w:val="001D14CF"/>
    <w:rsid w:val="001D38D8"/>
    <w:rsid w:val="001D434C"/>
    <w:rsid w:val="001D4B49"/>
    <w:rsid w:val="001D6F4D"/>
    <w:rsid w:val="001E28C1"/>
    <w:rsid w:val="001E5618"/>
    <w:rsid w:val="001E69D9"/>
    <w:rsid w:val="001E7640"/>
    <w:rsid w:val="001F07E8"/>
    <w:rsid w:val="001F2684"/>
    <w:rsid w:val="001F337B"/>
    <w:rsid w:val="001F36E9"/>
    <w:rsid w:val="0020125B"/>
    <w:rsid w:val="0020253C"/>
    <w:rsid w:val="002026C3"/>
    <w:rsid w:val="002042EE"/>
    <w:rsid w:val="00204715"/>
    <w:rsid w:val="00207848"/>
    <w:rsid w:val="00210B1B"/>
    <w:rsid w:val="00211C45"/>
    <w:rsid w:val="00212AB1"/>
    <w:rsid w:val="00217768"/>
    <w:rsid w:val="00221FBD"/>
    <w:rsid w:val="00222B33"/>
    <w:rsid w:val="0022410D"/>
    <w:rsid w:val="00225DA0"/>
    <w:rsid w:val="002313A9"/>
    <w:rsid w:val="00231D68"/>
    <w:rsid w:val="00232601"/>
    <w:rsid w:val="00232AED"/>
    <w:rsid w:val="002348D0"/>
    <w:rsid w:val="00237535"/>
    <w:rsid w:val="00242D32"/>
    <w:rsid w:val="002470AB"/>
    <w:rsid w:val="00247676"/>
    <w:rsid w:val="0024767C"/>
    <w:rsid w:val="0025204B"/>
    <w:rsid w:val="002552E0"/>
    <w:rsid w:val="00256110"/>
    <w:rsid w:val="00257873"/>
    <w:rsid w:val="0026186F"/>
    <w:rsid w:val="00262D18"/>
    <w:rsid w:val="0026374F"/>
    <w:rsid w:val="00263CB1"/>
    <w:rsid w:val="00264A0A"/>
    <w:rsid w:val="0027027A"/>
    <w:rsid w:val="0027275D"/>
    <w:rsid w:val="00277576"/>
    <w:rsid w:val="002779D4"/>
    <w:rsid w:val="00277BDC"/>
    <w:rsid w:val="00282651"/>
    <w:rsid w:val="002833B2"/>
    <w:rsid w:val="00286F4D"/>
    <w:rsid w:val="00287D82"/>
    <w:rsid w:val="00292757"/>
    <w:rsid w:val="00293E0E"/>
    <w:rsid w:val="0029499F"/>
    <w:rsid w:val="002A1D12"/>
    <w:rsid w:val="002A3165"/>
    <w:rsid w:val="002A3D28"/>
    <w:rsid w:val="002A442D"/>
    <w:rsid w:val="002A6914"/>
    <w:rsid w:val="002A7FF9"/>
    <w:rsid w:val="002B0165"/>
    <w:rsid w:val="002B31F7"/>
    <w:rsid w:val="002B5AEA"/>
    <w:rsid w:val="002C3B1E"/>
    <w:rsid w:val="002C3BAF"/>
    <w:rsid w:val="002D04F7"/>
    <w:rsid w:val="002D2292"/>
    <w:rsid w:val="002D2316"/>
    <w:rsid w:val="002D3F96"/>
    <w:rsid w:val="002E057B"/>
    <w:rsid w:val="002E1320"/>
    <w:rsid w:val="002E55EA"/>
    <w:rsid w:val="002E79AD"/>
    <w:rsid w:val="002E7A60"/>
    <w:rsid w:val="002F13FD"/>
    <w:rsid w:val="002F1514"/>
    <w:rsid w:val="002F544C"/>
    <w:rsid w:val="002F6436"/>
    <w:rsid w:val="002F7430"/>
    <w:rsid w:val="003036E6"/>
    <w:rsid w:val="00306C39"/>
    <w:rsid w:val="00310689"/>
    <w:rsid w:val="00311E59"/>
    <w:rsid w:val="00315B04"/>
    <w:rsid w:val="0032055B"/>
    <w:rsid w:val="00322A17"/>
    <w:rsid w:val="003264C1"/>
    <w:rsid w:val="00331301"/>
    <w:rsid w:val="00331ED1"/>
    <w:rsid w:val="003355BB"/>
    <w:rsid w:val="00335678"/>
    <w:rsid w:val="00340426"/>
    <w:rsid w:val="00340454"/>
    <w:rsid w:val="00342EE7"/>
    <w:rsid w:val="003477D0"/>
    <w:rsid w:val="0036291B"/>
    <w:rsid w:val="00366599"/>
    <w:rsid w:val="00366A70"/>
    <w:rsid w:val="00370F5B"/>
    <w:rsid w:val="003766D7"/>
    <w:rsid w:val="00376FBC"/>
    <w:rsid w:val="00377B43"/>
    <w:rsid w:val="00381068"/>
    <w:rsid w:val="00384D4A"/>
    <w:rsid w:val="00385BD1"/>
    <w:rsid w:val="00385FDC"/>
    <w:rsid w:val="0038611D"/>
    <w:rsid w:val="00391C5D"/>
    <w:rsid w:val="00396CF4"/>
    <w:rsid w:val="003972B2"/>
    <w:rsid w:val="00397494"/>
    <w:rsid w:val="003A336E"/>
    <w:rsid w:val="003A3560"/>
    <w:rsid w:val="003A58C9"/>
    <w:rsid w:val="003A6638"/>
    <w:rsid w:val="003B0F84"/>
    <w:rsid w:val="003B6349"/>
    <w:rsid w:val="003B6F44"/>
    <w:rsid w:val="003C05AF"/>
    <w:rsid w:val="003C0852"/>
    <w:rsid w:val="003C21B4"/>
    <w:rsid w:val="003C3022"/>
    <w:rsid w:val="003C5009"/>
    <w:rsid w:val="003C5273"/>
    <w:rsid w:val="003C7074"/>
    <w:rsid w:val="003D168E"/>
    <w:rsid w:val="003D342C"/>
    <w:rsid w:val="003D46B4"/>
    <w:rsid w:val="003D5F09"/>
    <w:rsid w:val="003D61CF"/>
    <w:rsid w:val="003E1F40"/>
    <w:rsid w:val="003E3676"/>
    <w:rsid w:val="003E430E"/>
    <w:rsid w:val="003E4394"/>
    <w:rsid w:val="003E5240"/>
    <w:rsid w:val="003E530D"/>
    <w:rsid w:val="003E5857"/>
    <w:rsid w:val="003F02A2"/>
    <w:rsid w:val="003F06C4"/>
    <w:rsid w:val="003F1B39"/>
    <w:rsid w:val="003F554A"/>
    <w:rsid w:val="003F7FC7"/>
    <w:rsid w:val="0040283A"/>
    <w:rsid w:val="00403A9D"/>
    <w:rsid w:val="00412D6C"/>
    <w:rsid w:val="00416AB5"/>
    <w:rsid w:val="00423094"/>
    <w:rsid w:val="00424874"/>
    <w:rsid w:val="00424FB0"/>
    <w:rsid w:val="004258A7"/>
    <w:rsid w:val="00430DA5"/>
    <w:rsid w:val="00431F9B"/>
    <w:rsid w:val="00433D93"/>
    <w:rsid w:val="00434AC1"/>
    <w:rsid w:val="00435875"/>
    <w:rsid w:val="00435EDF"/>
    <w:rsid w:val="00441BF0"/>
    <w:rsid w:val="00444215"/>
    <w:rsid w:val="00445A43"/>
    <w:rsid w:val="00446D76"/>
    <w:rsid w:val="00447027"/>
    <w:rsid w:val="00461BD5"/>
    <w:rsid w:val="004758FF"/>
    <w:rsid w:val="00481EA5"/>
    <w:rsid w:val="0048409E"/>
    <w:rsid w:val="00484C06"/>
    <w:rsid w:val="00485131"/>
    <w:rsid w:val="004866F0"/>
    <w:rsid w:val="00493773"/>
    <w:rsid w:val="00493F1A"/>
    <w:rsid w:val="00494A69"/>
    <w:rsid w:val="0049632B"/>
    <w:rsid w:val="00497071"/>
    <w:rsid w:val="004A073A"/>
    <w:rsid w:val="004A22D7"/>
    <w:rsid w:val="004A437F"/>
    <w:rsid w:val="004B0D69"/>
    <w:rsid w:val="004B144D"/>
    <w:rsid w:val="004B1927"/>
    <w:rsid w:val="004B35B4"/>
    <w:rsid w:val="004B44BA"/>
    <w:rsid w:val="004B62CB"/>
    <w:rsid w:val="004C05BE"/>
    <w:rsid w:val="004C19BF"/>
    <w:rsid w:val="004C6370"/>
    <w:rsid w:val="004C695D"/>
    <w:rsid w:val="004D0311"/>
    <w:rsid w:val="004D2537"/>
    <w:rsid w:val="004D28B4"/>
    <w:rsid w:val="004D2F82"/>
    <w:rsid w:val="004D4F66"/>
    <w:rsid w:val="004D5925"/>
    <w:rsid w:val="004D6099"/>
    <w:rsid w:val="004D68C4"/>
    <w:rsid w:val="004E03D4"/>
    <w:rsid w:val="004E04B1"/>
    <w:rsid w:val="004F0C86"/>
    <w:rsid w:val="004F37CE"/>
    <w:rsid w:val="004F3DA2"/>
    <w:rsid w:val="004F56B9"/>
    <w:rsid w:val="004F5CB1"/>
    <w:rsid w:val="004F6545"/>
    <w:rsid w:val="0050440C"/>
    <w:rsid w:val="0050669F"/>
    <w:rsid w:val="005112E7"/>
    <w:rsid w:val="00511AF8"/>
    <w:rsid w:val="005148D6"/>
    <w:rsid w:val="00516138"/>
    <w:rsid w:val="0052207F"/>
    <w:rsid w:val="00525F1F"/>
    <w:rsid w:val="00533066"/>
    <w:rsid w:val="00533DB6"/>
    <w:rsid w:val="005351D5"/>
    <w:rsid w:val="005364FC"/>
    <w:rsid w:val="00536A67"/>
    <w:rsid w:val="00536EA2"/>
    <w:rsid w:val="0054079A"/>
    <w:rsid w:val="00542154"/>
    <w:rsid w:val="005422C4"/>
    <w:rsid w:val="00542FD7"/>
    <w:rsid w:val="00543AFC"/>
    <w:rsid w:val="005458E0"/>
    <w:rsid w:val="00545F42"/>
    <w:rsid w:val="00547F5D"/>
    <w:rsid w:val="00550400"/>
    <w:rsid w:val="00551436"/>
    <w:rsid w:val="00555B52"/>
    <w:rsid w:val="00560B0F"/>
    <w:rsid w:val="00560C3F"/>
    <w:rsid w:val="0056174F"/>
    <w:rsid w:val="00561BDA"/>
    <w:rsid w:val="00562F86"/>
    <w:rsid w:val="00563685"/>
    <w:rsid w:val="00563FEA"/>
    <w:rsid w:val="005652E1"/>
    <w:rsid w:val="00566405"/>
    <w:rsid w:val="00567D0E"/>
    <w:rsid w:val="00567F66"/>
    <w:rsid w:val="0057087E"/>
    <w:rsid w:val="00580348"/>
    <w:rsid w:val="00580B26"/>
    <w:rsid w:val="00580E0B"/>
    <w:rsid w:val="0058291A"/>
    <w:rsid w:val="0058321F"/>
    <w:rsid w:val="00584254"/>
    <w:rsid w:val="00584F00"/>
    <w:rsid w:val="0058664D"/>
    <w:rsid w:val="00591E1C"/>
    <w:rsid w:val="00596D68"/>
    <w:rsid w:val="00596DA6"/>
    <w:rsid w:val="00596E4B"/>
    <w:rsid w:val="00597C0F"/>
    <w:rsid w:val="005A34EA"/>
    <w:rsid w:val="005A3F66"/>
    <w:rsid w:val="005A5DF2"/>
    <w:rsid w:val="005B0115"/>
    <w:rsid w:val="005B13FD"/>
    <w:rsid w:val="005B3FB9"/>
    <w:rsid w:val="005B4964"/>
    <w:rsid w:val="005B614A"/>
    <w:rsid w:val="005B7A1B"/>
    <w:rsid w:val="005B7EEF"/>
    <w:rsid w:val="005C7C23"/>
    <w:rsid w:val="005D011B"/>
    <w:rsid w:val="005D34EB"/>
    <w:rsid w:val="005D34F3"/>
    <w:rsid w:val="005D3DED"/>
    <w:rsid w:val="005D460F"/>
    <w:rsid w:val="005D5150"/>
    <w:rsid w:val="005D76E6"/>
    <w:rsid w:val="005E0344"/>
    <w:rsid w:val="005E26B2"/>
    <w:rsid w:val="005E4633"/>
    <w:rsid w:val="005E4B8B"/>
    <w:rsid w:val="005E4E6E"/>
    <w:rsid w:val="005E6246"/>
    <w:rsid w:val="005E6AF2"/>
    <w:rsid w:val="005F16CD"/>
    <w:rsid w:val="005F5DAE"/>
    <w:rsid w:val="005F6CB3"/>
    <w:rsid w:val="00603B68"/>
    <w:rsid w:val="00603BED"/>
    <w:rsid w:val="006058AE"/>
    <w:rsid w:val="00605C44"/>
    <w:rsid w:val="00612449"/>
    <w:rsid w:val="00612C5C"/>
    <w:rsid w:val="00612C5F"/>
    <w:rsid w:val="0061620C"/>
    <w:rsid w:val="006162AF"/>
    <w:rsid w:val="0061647A"/>
    <w:rsid w:val="006167A6"/>
    <w:rsid w:val="00617A90"/>
    <w:rsid w:val="00620AA3"/>
    <w:rsid w:val="0062140B"/>
    <w:rsid w:val="00622CA7"/>
    <w:rsid w:val="00623278"/>
    <w:rsid w:val="00625AC2"/>
    <w:rsid w:val="00633738"/>
    <w:rsid w:val="00635C1A"/>
    <w:rsid w:val="00641E97"/>
    <w:rsid w:val="00642941"/>
    <w:rsid w:val="00644FF4"/>
    <w:rsid w:val="00650D54"/>
    <w:rsid w:val="00650F4D"/>
    <w:rsid w:val="006515D0"/>
    <w:rsid w:val="00651A67"/>
    <w:rsid w:val="006547E1"/>
    <w:rsid w:val="0065606E"/>
    <w:rsid w:val="0066004A"/>
    <w:rsid w:val="0066044C"/>
    <w:rsid w:val="00660D21"/>
    <w:rsid w:val="00660DFC"/>
    <w:rsid w:val="00660F62"/>
    <w:rsid w:val="00662F63"/>
    <w:rsid w:val="00663ED1"/>
    <w:rsid w:val="006644ED"/>
    <w:rsid w:val="00671A41"/>
    <w:rsid w:val="00671A8A"/>
    <w:rsid w:val="006720D0"/>
    <w:rsid w:val="00675987"/>
    <w:rsid w:val="00676A32"/>
    <w:rsid w:val="00677C9E"/>
    <w:rsid w:val="00677CA5"/>
    <w:rsid w:val="00680F9C"/>
    <w:rsid w:val="00681F78"/>
    <w:rsid w:val="00683449"/>
    <w:rsid w:val="00685508"/>
    <w:rsid w:val="00693365"/>
    <w:rsid w:val="0069500B"/>
    <w:rsid w:val="006974C3"/>
    <w:rsid w:val="006A1E73"/>
    <w:rsid w:val="006A1F98"/>
    <w:rsid w:val="006A4C1B"/>
    <w:rsid w:val="006A57F1"/>
    <w:rsid w:val="006A7268"/>
    <w:rsid w:val="006A7313"/>
    <w:rsid w:val="006B2464"/>
    <w:rsid w:val="006C1814"/>
    <w:rsid w:val="006D0867"/>
    <w:rsid w:val="006D3C6E"/>
    <w:rsid w:val="006D7238"/>
    <w:rsid w:val="006E12D6"/>
    <w:rsid w:val="006E2708"/>
    <w:rsid w:val="006E35EC"/>
    <w:rsid w:val="006E467F"/>
    <w:rsid w:val="006F06DA"/>
    <w:rsid w:val="006F0707"/>
    <w:rsid w:val="006F149A"/>
    <w:rsid w:val="006F1BFC"/>
    <w:rsid w:val="006F286B"/>
    <w:rsid w:val="006F419C"/>
    <w:rsid w:val="006F5178"/>
    <w:rsid w:val="006F5753"/>
    <w:rsid w:val="0070006A"/>
    <w:rsid w:val="007003EB"/>
    <w:rsid w:val="00700C4D"/>
    <w:rsid w:val="007064F2"/>
    <w:rsid w:val="007113B0"/>
    <w:rsid w:val="00715C7C"/>
    <w:rsid w:val="007167D0"/>
    <w:rsid w:val="00720CC3"/>
    <w:rsid w:val="007235C2"/>
    <w:rsid w:val="00730185"/>
    <w:rsid w:val="007316B8"/>
    <w:rsid w:val="00732106"/>
    <w:rsid w:val="00733931"/>
    <w:rsid w:val="00733FF4"/>
    <w:rsid w:val="007343BF"/>
    <w:rsid w:val="00734921"/>
    <w:rsid w:val="00734BD5"/>
    <w:rsid w:val="007351B5"/>
    <w:rsid w:val="0073685C"/>
    <w:rsid w:val="0074078D"/>
    <w:rsid w:val="0074195D"/>
    <w:rsid w:val="00742F6C"/>
    <w:rsid w:val="0074412C"/>
    <w:rsid w:val="00747D7A"/>
    <w:rsid w:val="007500C6"/>
    <w:rsid w:val="00750AE6"/>
    <w:rsid w:val="0075342D"/>
    <w:rsid w:val="00755622"/>
    <w:rsid w:val="0075609B"/>
    <w:rsid w:val="00760A26"/>
    <w:rsid w:val="00760C16"/>
    <w:rsid w:val="00762281"/>
    <w:rsid w:val="0076241E"/>
    <w:rsid w:val="00776E86"/>
    <w:rsid w:val="00776EE7"/>
    <w:rsid w:val="00780425"/>
    <w:rsid w:val="0078126E"/>
    <w:rsid w:val="00781838"/>
    <w:rsid w:val="00784F16"/>
    <w:rsid w:val="00785644"/>
    <w:rsid w:val="00785D16"/>
    <w:rsid w:val="00786238"/>
    <w:rsid w:val="00792929"/>
    <w:rsid w:val="007937AF"/>
    <w:rsid w:val="007949BC"/>
    <w:rsid w:val="00796824"/>
    <w:rsid w:val="00796DBA"/>
    <w:rsid w:val="007A3599"/>
    <w:rsid w:val="007A4177"/>
    <w:rsid w:val="007A5008"/>
    <w:rsid w:val="007A66B1"/>
    <w:rsid w:val="007A6AC4"/>
    <w:rsid w:val="007B562D"/>
    <w:rsid w:val="007B716A"/>
    <w:rsid w:val="007B7622"/>
    <w:rsid w:val="007C02B8"/>
    <w:rsid w:val="007C60B1"/>
    <w:rsid w:val="007C7B1E"/>
    <w:rsid w:val="007C7E89"/>
    <w:rsid w:val="007D0748"/>
    <w:rsid w:val="007D1785"/>
    <w:rsid w:val="007D41F7"/>
    <w:rsid w:val="007D44FC"/>
    <w:rsid w:val="007D73A0"/>
    <w:rsid w:val="007E0AC3"/>
    <w:rsid w:val="007E213C"/>
    <w:rsid w:val="007E6B65"/>
    <w:rsid w:val="007F0834"/>
    <w:rsid w:val="007F356F"/>
    <w:rsid w:val="007F3F89"/>
    <w:rsid w:val="007F6E94"/>
    <w:rsid w:val="00802507"/>
    <w:rsid w:val="00803215"/>
    <w:rsid w:val="00803605"/>
    <w:rsid w:val="00806530"/>
    <w:rsid w:val="00810012"/>
    <w:rsid w:val="00810592"/>
    <w:rsid w:val="00810E01"/>
    <w:rsid w:val="00810E82"/>
    <w:rsid w:val="0081440C"/>
    <w:rsid w:val="008171E8"/>
    <w:rsid w:val="00821084"/>
    <w:rsid w:val="00821711"/>
    <w:rsid w:val="0082449D"/>
    <w:rsid w:val="00826F76"/>
    <w:rsid w:val="008277FD"/>
    <w:rsid w:val="00827BE0"/>
    <w:rsid w:val="00827EBD"/>
    <w:rsid w:val="008305F6"/>
    <w:rsid w:val="00831F17"/>
    <w:rsid w:val="00836E0A"/>
    <w:rsid w:val="0083751E"/>
    <w:rsid w:val="00841C3A"/>
    <w:rsid w:val="008433B5"/>
    <w:rsid w:val="0084741C"/>
    <w:rsid w:val="008562A1"/>
    <w:rsid w:val="00862877"/>
    <w:rsid w:val="00862983"/>
    <w:rsid w:val="00862B06"/>
    <w:rsid w:val="008639B9"/>
    <w:rsid w:val="00865401"/>
    <w:rsid w:val="00865CE7"/>
    <w:rsid w:val="00871407"/>
    <w:rsid w:val="00874CE1"/>
    <w:rsid w:val="00875793"/>
    <w:rsid w:val="00882F79"/>
    <w:rsid w:val="0088370D"/>
    <w:rsid w:val="008844ED"/>
    <w:rsid w:val="00885940"/>
    <w:rsid w:val="008912BC"/>
    <w:rsid w:val="008919F9"/>
    <w:rsid w:val="00892BAD"/>
    <w:rsid w:val="00893CD1"/>
    <w:rsid w:val="008941EC"/>
    <w:rsid w:val="00894BFC"/>
    <w:rsid w:val="00895FC6"/>
    <w:rsid w:val="008971EA"/>
    <w:rsid w:val="008A1ADB"/>
    <w:rsid w:val="008B0D1A"/>
    <w:rsid w:val="008B5496"/>
    <w:rsid w:val="008B5E4A"/>
    <w:rsid w:val="008C3287"/>
    <w:rsid w:val="008C6A77"/>
    <w:rsid w:val="008C6C90"/>
    <w:rsid w:val="008D0E39"/>
    <w:rsid w:val="008D2972"/>
    <w:rsid w:val="008D3451"/>
    <w:rsid w:val="008D3887"/>
    <w:rsid w:val="008D4ACA"/>
    <w:rsid w:val="008E1357"/>
    <w:rsid w:val="008E1893"/>
    <w:rsid w:val="008E6D3C"/>
    <w:rsid w:val="008E6F9E"/>
    <w:rsid w:val="008F3046"/>
    <w:rsid w:val="008F42B2"/>
    <w:rsid w:val="008F4A45"/>
    <w:rsid w:val="008F6DA4"/>
    <w:rsid w:val="0090081D"/>
    <w:rsid w:val="00903E28"/>
    <w:rsid w:val="009067F3"/>
    <w:rsid w:val="0090726D"/>
    <w:rsid w:val="00912D59"/>
    <w:rsid w:val="00916131"/>
    <w:rsid w:val="00916994"/>
    <w:rsid w:val="00916A08"/>
    <w:rsid w:val="00923B59"/>
    <w:rsid w:val="009275F5"/>
    <w:rsid w:val="00930794"/>
    <w:rsid w:val="009351F5"/>
    <w:rsid w:val="00935452"/>
    <w:rsid w:val="009356E4"/>
    <w:rsid w:val="0093698B"/>
    <w:rsid w:val="00940CB3"/>
    <w:rsid w:val="00941C8D"/>
    <w:rsid w:val="009430D4"/>
    <w:rsid w:val="00945CB4"/>
    <w:rsid w:val="00946688"/>
    <w:rsid w:val="00947C37"/>
    <w:rsid w:val="009505BE"/>
    <w:rsid w:val="009511B0"/>
    <w:rsid w:val="00954CA0"/>
    <w:rsid w:val="00955412"/>
    <w:rsid w:val="0096268F"/>
    <w:rsid w:val="00963D5E"/>
    <w:rsid w:val="009665EE"/>
    <w:rsid w:val="00971C1E"/>
    <w:rsid w:val="009727D3"/>
    <w:rsid w:val="00976B28"/>
    <w:rsid w:val="00981083"/>
    <w:rsid w:val="00981BDA"/>
    <w:rsid w:val="0098777B"/>
    <w:rsid w:val="00993E56"/>
    <w:rsid w:val="0099702A"/>
    <w:rsid w:val="00997CBC"/>
    <w:rsid w:val="009A01EC"/>
    <w:rsid w:val="009A3C07"/>
    <w:rsid w:val="009A6409"/>
    <w:rsid w:val="009B01CB"/>
    <w:rsid w:val="009B0D8A"/>
    <w:rsid w:val="009B2B89"/>
    <w:rsid w:val="009B3251"/>
    <w:rsid w:val="009B384A"/>
    <w:rsid w:val="009B3A2E"/>
    <w:rsid w:val="009C1973"/>
    <w:rsid w:val="009C23DF"/>
    <w:rsid w:val="009D0D3A"/>
    <w:rsid w:val="009D21CD"/>
    <w:rsid w:val="009D53F5"/>
    <w:rsid w:val="009D62F5"/>
    <w:rsid w:val="009D77B9"/>
    <w:rsid w:val="009D7924"/>
    <w:rsid w:val="009E0455"/>
    <w:rsid w:val="009E2EB2"/>
    <w:rsid w:val="009E32A3"/>
    <w:rsid w:val="009E3677"/>
    <w:rsid w:val="009E4E6A"/>
    <w:rsid w:val="009F09A0"/>
    <w:rsid w:val="009F2857"/>
    <w:rsid w:val="009F4B15"/>
    <w:rsid w:val="009F506F"/>
    <w:rsid w:val="00A00B3B"/>
    <w:rsid w:val="00A01302"/>
    <w:rsid w:val="00A03B72"/>
    <w:rsid w:val="00A03EB7"/>
    <w:rsid w:val="00A1018D"/>
    <w:rsid w:val="00A10852"/>
    <w:rsid w:val="00A111FB"/>
    <w:rsid w:val="00A11486"/>
    <w:rsid w:val="00A17CC1"/>
    <w:rsid w:val="00A20BC9"/>
    <w:rsid w:val="00A23408"/>
    <w:rsid w:val="00A235AD"/>
    <w:rsid w:val="00A2423F"/>
    <w:rsid w:val="00A2521E"/>
    <w:rsid w:val="00A26591"/>
    <w:rsid w:val="00A3055E"/>
    <w:rsid w:val="00A30831"/>
    <w:rsid w:val="00A34401"/>
    <w:rsid w:val="00A41C50"/>
    <w:rsid w:val="00A42873"/>
    <w:rsid w:val="00A42D26"/>
    <w:rsid w:val="00A46433"/>
    <w:rsid w:val="00A542A6"/>
    <w:rsid w:val="00A556E9"/>
    <w:rsid w:val="00A619C0"/>
    <w:rsid w:val="00A630AE"/>
    <w:rsid w:val="00A65338"/>
    <w:rsid w:val="00A65F50"/>
    <w:rsid w:val="00A6612A"/>
    <w:rsid w:val="00A729EF"/>
    <w:rsid w:val="00A74B86"/>
    <w:rsid w:val="00A81FF2"/>
    <w:rsid w:val="00A823BE"/>
    <w:rsid w:val="00A833BF"/>
    <w:rsid w:val="00A84A14"/>
    <w:rsid w:val="00A8551A"/>
    <w:rsid w:val="00A864BE"/>
    <w:rsid w:val="00A86730"/>
    <w:rsid w:val="00A87636"/>
    <w:rsid w:val="00A905BF"/>
    <w:rsid w:val="00A93465"/>
    <w:rsid w:val="00AA1B7E"/>
    <w:rsid w:val="00AA2B6D"/>
    <w:rsid w:val="00AA3FB8"/>
    <w:rsid w:val="00AA57AA"/>
    <w:rsid w:val="00AA6009"/>
    <w:rsid w:val="00AB0AD7"/>
    <w:rsid w:val="00AB29B6"/>
    <w:rsid w:val="00AC179D"/>
    <w:rsid w:val="00AC36F1"/>
    <w:rsid w:val="00AC4578"/>
    <w:rsid w:val="00AC4E6D"/>
    <w:rsid w:val="00AC4F89"/>
    <w:rsid w:val="00AC6D0E"/>
    <w:rsid w:val="00AC7B0B"/>
    <w:rsid w:val="00AC7B3F"/>
    <w:rsid w:val="00AD50AB"/>
    <w:rsid w:val="00AD5DB6"/>
    <w:rsid w:val="00AD662A"/>
    <w:rsid w:val="00AE2F99"/>
    <w:rsid w:val="00AE386B"/>
    <w:rsid w:val="00AE4E97"/>
    <w:rsid w:val="00AE7A99"/>
    <w:rsid w:val="00AF0FA4"/>
    <w:rsid w:val="00AF14A9"/>
    <w:rsid w:val="00B00077"/>
    <w:rsid w:val="00B0420C"/>
    <w:rsid w:val="00B04786"/>
    <w:rsid w:val="00B130A5"/>
    <w:rsid w:val="00B17AA8"/>
    <w:rsid w:val="00B20700"/>
    <w:rsid w:val="00B21962"/>
    <w:rsid w:val="00B22484"/>
    <w:rsid w:val="00B22518"/>
    <w:rsid w:val="00B31F91"/>
    <w:rsid w:val="00B33C33"/>
    <w:rsid w:val="00B33F07"/>
    <w:rsid w:val="00B37897"/>
    <w:rsid w:val="00B457CF"/>
    <w:rsid w:val="00B45FED"/>
    <w:rsid w:val="00B471B6"/>
    <w:rsid w:val="00B54262"/>
    <w:rsid w:val="00B5757E"/>
    <w:rsid w:val="00B619D7"/>
    <w:rsid w:val="00B65B52"/>
    <w:rsid w:val="00B66288"/>
    <w:rsid w:val="00B6768E"/>
    <w:rsid w:val="00B7476F"/>
    <w:rsid w:val="00B80A1F"/>
    <w:rsid w:val="00B84EF7"/>
    <w:rsid w:val="00B904B2"/>
    <w:rsid w:val="00B923F2"/>
    <w:rsid w:val="00B9373F"/>
    <w:rsid w:val="00B95B0C"/>
    <w:rsid w:val="00B9638A"/>
    <w:rsid w:val="00B973D4"/>
    <w:rsid w:val="00BA16A8"/>
    <w:rsid w:val="00BA3CFF"/>
    <w:rsid w:val="00BA460D"/>
    <w:rsid w:val="00BA7E2E"/>
    <w:rsid w:val="00BB78DD"/>
    <w:rsid w:val="00BC07A6"/>
    <w:rsid w:val="00BC18C0"/>
    <w:rsid w:val="00BD0C8E"/>
    <w:rsid w:val="00BD15FA"/>
    <w:rsid w:val="00BD37DF"/>
    <w:rsid w:val="00BD7B16"/>
    <w:rsid w:val="00BE3E24"/>
    <w:rsid w:val="00BE4B1E"/>
    <w:rsid w:val="00BE63A4"/>
    <w:rsid w:val="00BF1E34"/>
    <w:rsid w:val="00BF1ED3"/>
    <w:rsid w:val="00BF3898"/>
    <w:rsid w:val="00BF3DDC"/>
    <w:rsid w:val="00BF5210"/>
    <w:rsid w:val="00BF5554"/>
    <w:rsid w:val="00C00A53"/>
    <w:rsid w:val="00C018DF"/>
    <w:rsid w:val="00C072A8"/>
    <w:rsid w:val="00C11452"/>
    <w:rsid w:val="00C1454A"/>
    <w:rsid w:val="00C14B68"/>
    <w:rsid w:val="00C2587E"/>
    <w:rsid w:val="00C3256A"/>
    <w:rsid w:val="00C350B1"/>
    <w:rsid w:val="00C36B65"/>
    <w:rsid w:val="00C37B4B"/>
    <w:rsid w:val="00C37F85"/>
    <w:rsid w:val="00C428F5"/>
    <w:rsid w:val="00C4498E"/>
    <w:rsid w:val="00C45591"/>
    <w:rsid w:val="00C47252"/>
    <w:rsid w:val="00C51706"/>
    <w:rsid w:val="00C54E49"/>
    <w:rsid w:val="00C55540"/>
    <w:rsid w:val="00C618C3"/>
    <w:rsid w:val="00C629FE"/>
    <w:rsid w:val="00C70F94"/>
    <w:rsid w:val="00C727DC"/>
    <w:rsid w:val="00C730E8"/>
    <w:rsid w:val="00C7347F"/>
    <w:rsid w:val="00C74095"/>
    <w:rsid w:val="00C8074C"/>
    <w:rsid w:val="00C80D2E"/>
    <w:rsid w:val="00C82E04"/>
    <w:rsid w:val="00C85C82"/>
    <w:rsid w:val="00C85F27"/>
    <w:rsid w:val="00C86B0E"/>
    <w:rsid w:val="00C910EC"/>
    <w:rsid w:val="00C92A7D"/>
    <w:rsid w:val="00C92B32"/>
    <w:rsid w:val="00C93C87"/>
    <w:rsid w:val="00C96CBB"/>
    <w:rsid w:val="00CA00EC"/>
    <w:rsid w:val="00CA0BC4"/>
    <w:rsid w:val="00CA12A2"/>
    <w:rsid w:val="00CA17C3"/>
    <w:rsid w:val="00CA3399"/>
    <w:rsid w:val="00CA3A77"/>
    <w:rsid w:val="00CA5145"/>
    <w:rsid w:val="00CA5EE6"/>
    <w:rsid w:val="00CA68D6"/>
    <w:rsid w:val="00CA6BAE"/>
    <w:rsid w:val="00CB02E3"/>
    <w:rsid w:val="00CB7578"/>
    <w:rsid w:val="00CC066F"/>
    <w:rsid w:val="00CC21B2"/>
    <w:rsid w:val="00CC4AA4"/>
    <w:rsid w:val="00CC4EC6"/>
    <w:rsid w:val="00CC62BF"/>
    <w:rsid w:val="00CC7536"/>
    <w:rsid w:val="00CD7444"/>
    <w:rsid w:val="00CE224B"/>
    <w:rsid w:val="00CE283C"/>
    <w:rsid w:val="00CE2F52"/>
    <w:rsid w:val="00CE3616"/>
    <w:rsid w:val="00CE3762"/>
    <w:rsid w:val="00CE3836"/>
    <w:rsid w:val="00CE4192"/>
    <w:rsid w:val="00CE46A9"/>
    <w:rsid w:val="00CE6DA6"/>
    <w:rsid w:val="00CF2CD6"/>
    <w:rsid w:val="00CF4775"/>
    <w:rsid w:val="00CF5EBD"/>
    <w:rsid w:val="00D04940"/>
    <w:rsid w:val="00D06470"/>
    <w:rsid w:val="00D06FD7"/>
    <w:rsid w:val="00D12469"/>
    <w:rsid w:val="00D1354A"/>
    <w:rsid w:val="00D23ABC"/>
    <w:rsid w:val="00D26FCB"/>
    <w:rsid w:val="00D32848"/>
    <w:rsid w:val="00D336EF"/>
    <w:rsid w:val="00D4417A"/>
    <w:rsid w:val="00D46EBF"/>
    <w:rsid w:val="00D540EF"/>
    <w:rsid w:val="00D57982"/>
    <w:rsid w:val="00D627C6"/>
    <w:rsid w:val="00D71DA9"/>
    <w:rsid w:val="00D739CB"/>
    <w:rsid w:val="00D739CE"/>
    <w:rsid w:val="00D74999"/>
    <w:rsid w:val="00D80F75"/>
    <w:rsid w:val="00D83215"/>
    <w:rsid w:val="00D84701"/>
    <w:rsid w:val="00D87758"/>
    <w:rsid w:val="00D9050E"/>
    <w:rsid w:val="00D91185"/>
    <w:rsid w:val="00D934DC"/>
    <w:rsid w:val="00D941E4"/>
    <w:rsid w:val="00D94D7E"/>
    <w:rsid w:val="00D94E60"/>
    <w:rsid w:val="00D961B7"/>
    <w:rsid w:val="00DA0CB1"/>
    <w:rsid w:val="00DA231E"/>
    <w:rsid w:val="00DA594A"/>
    <w:rsid w:val="00DB462A"/>
    <w:rsid w:val="00DB4CF4"/>
    <w:rsid w:val="00DB61C6"/>
    <w:rsid w:val="00DB730C"/>
    <w:rsid w:val="00DB7AF5"/>
    <w:rsid w:val="00DC20FD"/>
    <w:rsid w:val="00DC7695"/>
    <w:rsid w:val="00DD10A3"/>
    <w:rsid w:val="00DD1FC1"/>
    <w:rsid w:val="00DD3419"/>
    <w:rsid w:val="00DD4219"/>
    <w:rsid w:val="00DD644B"/>
    <w:rsid w:val="00DD6F6E"/>
    <w:rsid w:val="00DE387E"/>
    <w:rsid w:val="00DF0727"/>
    <w:rsid w:val="00DF091A"/>
    <w:rsid w:val="00DF0C8F"/>
    <w:rsid w:val="00DF355F"/>
    <w:rsid w:val="00DF7149"/>
    <w:rsid w:val="00E0112C"/>
    <w:rsid w:val="00E016E9"/>
    <w:rsid w:val="00E12A00"/>
    <w:rsid w:val="00E12AD6"/>
    <w:rsid w:val="00E16B44"/>
    <w:rsid w:val="00E22EA7"/>
    <w:rsid w:val="00E25EF6"/>
    <w:rsid w:val="00E323EE"/>
    <w:rsid w:val="00E346F5"/>
    <w:rsid w:val="00E34BB2"/>
    <w:rsid w:val="00E40A5C"/>
    <w:rsid w:val="00E41A25"/>
    <w:rsid w:val="00E50DCE"/>
    <w:rsid w:val="00E50F90"/>
    <w:rsid w:val="00E53DD8"/>
    <w:rsid w:val="00E551CD"/>
    <w:rsid w:val="00E60417"/>
    <w:rsid w:val="00E60638"/>
    <w:rsid w:val="00E6255B"/>
    <w:rsid w:val="00E65757"/>
    <w:rsid w:val="00E70223"/>
    <w:rsid w:val="00E7588C"/>
    <w:rsid w:val="00E76515"/>
    <w:rsid w:val="00E81949"/>
    <w:rsid w:val="00E81D48"/>
    <w:rsid w:val="00E8369E"/>
    <w:rsid w:val="00E84796"/>
    <w:rsid w:val="00E908C2"/>
    <w:rsid w:val="00E94347"/>
    <w:rsid w:val="00E96159"/>
    <w:rsid w:val="00EA33A2"/>
    <w:rsid w:val="00EA62BD"/>
    <w:rsid w:val="00EA77D4"/>
    <w:rsid w:val="00EB1095"/>
    <w:rsid w:val="00EB1A11"/>
    <w:rsid w:val="00EB2A2C"/>
    <w:rsid w:val="00EB2DCB"/>
    <w:rsid w:val="00EB316F"/>
    <w:rsid w:val="00EB449C"/>
    <w:rsid w:val="00EC3EBE"/>
    <w:rsid w:val="00EC47E7"/>
    <w:rsid w:val="00EC4F97"/>
    <w:rsid w:val="00ED562E"/>
    <w:rsid w:val="00ED5FC8"/>
    <w:rsid w:val="00ED7922"/>
    <w:rsid w:val="00EE2C9A"/>
    <w:rsid w:val="00EE4453"/>
    <w:rsid w:val="00EE6533"/>
    <w:rsid w:val="00EE6AC0"/>
    <w:rsid w:val="00EE6CDF"/>
    <w:rsid w:val="00EF118B"/>
    <w:rsid w:val="00EF2CB0"/>
    <w:rsid w:val="00F003B8"/>
    <w:rsid w:val="00F06D85"/>
    <w:rsid w:val="00F121BB"/>
    <w:rsid w:val="00F127FD"/>
    <w:rsid w:val="00F1315B"/>
    <w:rsid w:val="00F13F00"/>
    <w:rsid w:val="00F15D4C"/>
    <w:rsid w:val="00F20D6F"/>
    <w:rsid w:val="00F22C0A"/>
    <w:rsid w:val="00F300E6"/>
    <w:rsid w:val="00F42CDA"/>
    <w:rsid w:val="00F44F02"/>
    <w:rsid w:val="00F45E0C"/>
    <w:rsid w:val="00F46EC4"/>
    <w:rsid w:val="00F47545"/>
    <w:rsid w:val="00F505E0"/>
    <w:rsid w:val="00F508E9"/>
    <w:rsid w:val="00F50F83"/>
    <w:rsid w:val="00F55B8A"/>
    <w:rsid w:val="00F55C5F"/>
    <w:rsid w:val="00F57233"/>
    <w:rsid w:val="00F614FB"/>
    <w:rsid w:val="00F70C27"/>
    <w:rsid w:val="00F71B2C"/>
    <w:rsid w:val="00F73E65"/>
    <w:rsid w:val="00F7738B"/>
    <w:rsid w:val="00F822A1"/>
    <w:rsid w:val="00F82687"/>
    <w:rsid w:val="00F82D1E"/>
    <w:rsid w:val="00F868FF"/>
    <w:rsid w:val="00F909EE"/>
    <w:rsid w:val="00F91006"/>
    <w:rsid w:val="00F948ED"/>
    <w:rsid w:val="00F950BE"/>
    <w:rsid w:val="00FA11FF"/>
    <w:rsid w:val="00FA207D"/>
    <w:rsid w:val="00FA60D6"/>
    <w:rsid w:val="00FA620D"/>
    <w:rsid w:val="00FB21B4"/>
    <w:rsid w:val="00FB2D80"/>
    <w:rsid w:val="00FC0676"/>
    <w:rsid w:val="00FC139D"/>
    <w:rsid w:val="00FC1866"/>
    <w:rsid w:val="00FC5287"/>
    <w:rsid w:val="00FC5D72"/>
    <w:rsid w:val="00FC6DDA"/>
    <w:rsid w:val="00FC759D"/>
    <w:rsid w:val="00FC77F9"/>
    <w:rsid w:val="00FD0FB5"/>
    <w:rsid w:val="00FD365E"/>
    <w:rsid w:val="00FD4613"/>
    <w:rsid w:val="00FD5CE3"/>
    <w:rsid w:val="00FD65B8"/>
    <w:rsid w:val="00FD7A42"/>
    <w:rsid w:val="00FD7AF7"/>
    <w:rsid w:val="00FE2890"/>
    <w:rsid w:val="00FE37D2"/>
    <w:rsid w:val="00FE718D"/>
    <w:rsid w:val="00FF320F"/>
    <w:rsid w:val="00FF3C5C"/>
    <w:rsid w:val="00FF49D1"/>
    <w:rsid w:val="00FF4B3E"/>
    <w:rsid w:val="03087086"/>
    <w:rsid w:val="03E730BD"/>
    <w:rsid w:val="04680665"/>
    <w:rsid w:val="058C3680"/>
    <w:rsid w:val="059D3E1F"/>
    <w:rsid w:val="05E33CF7"/>
    <w:rsid w:val="060256F9"/>
    <w:rsid w:val="06E16F19"/>
    <w:rsid w:val="096A60FC"/>
    <w:rsid w:val="0B826A3B"/>
    <w:rsid w:val="0C8E2CBA"/>
    <w:rsid w:val="0CDA4334"/>
    <w:rsid w:val="0E8273FC"/>
    <w:rsid w:val="0F0B7FDA"/>
    <w:rsid w:val="0F162D65"/>
    <w:rsid w:val="0FAD4399"/>
    <w:rsid w:val="0FB2658F"/>
    <w:rsid w:val="10021648"/>
    <w:rsid w:val="11491233"/>
    <w:rsid w:val="125E01FB"/>
    <w:rsid w:val="144D7A79"/>
    <w:rsid w:val="15F1786F"/>
    <w:rsid w:val="16586CEE"/>
    <w:rsid w:val="16A23186"/>
    <w:rsid w:val="16D171A6"/>
    <w:rsid w:val="16DC161D"/>
    <w:rsid w:val="17787270"/>
    <w:rsid w:val="17F27889"/>
    <w:rsid w:val="18116229"/>
    <w:rsid w:val="187E645E"/>
    <w:rsid w:val="193F2B3E"/>
    <w:rsid w:val="195F53C6"/>
    <w:rsid w:val="197D6A01"/>
    <w:rsid w:val="1B5865B4"/>
    <w:rsid w:val="1B8C2514"/>
    <w:rsid w:val="1BBC28F6"/>
    <w:rsid w:val="1C8350A6"/>
    <w:rsid w:val="1CFE1908"/>
    <w:rsid w:val="1D130CA5"/>
    <w:rsid w:val="1D5F77B4"/>
    <w:rsid w:val="1D8C552A"/>
    <w:rsid w:val="1F3A4EF9"/>
    <w:rsid w:val="21761ED1"/>
    <w:rsid w:val="21F551D4"/>
    <w:rsid w:val="21FF0102"/>
    <w:rsid w:val="236264C6"/>
    <w:rsid w:val="245C7EAE"/>
    <w:rsid w:val="24653902"/>
    <w:rsid w:val="25A55F96"/>
    <w:rsid w:val="26B11081"/>
    <w:rsid w:val="280B7906"/>
    <w:rsid w:val="282B7B0B"/>
    <w:rsid w:val="288221E2"/>
    <w:rsid w:val="2BB0746E"/>
    <w:rsid w:val="2CA61740"/>
    <w:rsid w:val="2CB10B0E"/>
    <w:rsid w:val="2D6D7D76"/>
    <w:rsid w:val="2DE8207C"/>
    <w:rsid w:val="2E903245"/>
    <w:rsid w:val="2FFF1DEC"/>
    <w:rsid w:val="314D4151"/>
    <w:rsid w:val="323D0EB2"/>
    <w:rsid w:val="33133940"/>
    <w:rsid w:val="33CBF715"/>
    <w:rsid w:val="34087D47"/>
    <w:rsid w:val="342310E4"/>
    <w:rsid w:val="34515C51"/>
    <w:rsid w:val="349D05A5"/>
    <w:rsid w:val="36C2696D"/>
    <w:rsid w:val="39B225CD"/>
    <w:rsid w:val="3AB17686"/>
    <w:rsid w:val="3B700180"/>
    <w:rsid w:val="3B852D17"/>
    <w:rsid w:val="3BF47C3D"/>
    <w:rsid w:val="3C6B3628"/>
    <w:rsid w:val="3CDB411D"/>
    <w:rsid w:val="3CFF2E94"/>
    <w:rsid w:val="3DB6FF8C"/>
    <w:rsid w:val="3DB70722"/>
    <w:rsid w:val="3DF381BE"/>
    <w:rsid w:val="3DFDF50C"/>
    <w:rsid w:val="3E7F6580"/>
    <w:rsid w:val="3EDF8DFC"/>
    <w:rsid w:val="3EFFF7FE"/>
    <w:rsid w:val="3F656A54"/>
    <w:rsid w:val="3FBFDF33"/>
    <w:rsid w:val="3FDF6674"/>
    <w:rsid w:val="3FF684A0"/>
    <w:rsid w:val="3FFF1E87"/>
    <w:rsid w:val="4044389B"/>
    <w:rsid w:val="40B538A9"/>
    <w:rsid w:val="42C10DED"/>
    <w:rsid w:val="43204A40"/>
    <w:rsid w:val="445E4D86"/>
    <w:rsid w:val="44CF7BFC"/>
    <w:rsid w:val="44DD4FDD"/>
    <w:rsid w:val="45291F79"/>
    <w:rsid w:val="45644C1B"/>
    <w:rsid w:val="46485CAF"/>
    <w:rsid w:val="466270D9"/>
    <w:rsid w:val="4701537B"/>
    <w:rsid w:val="475E2707"/>
    <w:rsid w:val="48167086"/>
    <w:rsid w:val="48937541"/>
    <w:rsid w:val="48CE3D67"/>
    <w:rsid w:val="48EF4E54"/>
    <w:rsid w:val="49B67E8D"/>
    <w:rsid w:val="49E8275C"/>
    <w:rsid w:val="4AAE0D8B"/>
    <w:rsid w:val="4B2248BD"/>
    <w:rsid w:val="4B2626C6"/>
    <w:rsid w:val="4C0BD332"/>
    <w:rsid w:val="4C8B2848"/>
    <w:rsid w:val="4C8E21CE"/>
    <w:rsid w:val="4E1C0B97"/>
    <w:rsid w:val="4FA90F7D"/>
    <w:rsid w:val="512C72E0"/>
    <w:rsid w:val="517B280A"/>
    <w:rsid w:val="520F394F"/>
    <w:rsid w:val="52571DA7"/>
    <w:rsid w:val="53254627"/>
    <w:rsid w:val="54956499"/>
    <w:rsid w:val="567B14E9"/>
    <w:rsid w:val="56885D70"/>
    <w:rsid w:val="5712197D"/>
    <w:rsid w:val="57EB27F0"/>
    <w:rsid w:val="581F3EF7"/>
    <w:rsid w:val="58340956"/>
    <w:rsid w:val="59535BD9"/>
    <w:rsid w:val="5A380108"/>
    <w:rsid w:val="5C76653E"/>
    <w:rsid w:val="5D3800D0"/>
    <w:rsid w:val="5D6F6499"/>
    <w:rsid w:val="5E5D4310"/>
    <w:rsid w:val="5EBFAC3A"/>
    <w:rsid w:val="5F343EC1"/>
    <w:rsid w:val="5F59B0D1"/>
    <w:rsid w:val="5F7F43AF"/>
    <w:rsid w:val="61293DF3"/>
    <w:rsid w:val="612E74FF"/>
    <w:rsid w:val="617F0A8F"/>
    <w:rsid w:val="617F4A71"/>
    <w:rsid w:val="618A5AFE"/>
    <w:rsid w:val="61CA1854"/>
    <w:rsid w:val="629D788A"/>
    <w:rsid w:val="633C21FE"/>
    <w:rsid w:val="63C8749A"/>
    <w:rsid w:val="64932C70"/>
    <w:rsid w:val="666C0434"/>
    <w:rsid w:val="66C7577B"/>
    <w:rsid w:val="66FE0A6E"/>
    <w:rsid w:val="67F9FB4F"/>
    <w:rsid w:val="684352D5"/>
    <w:rsid w:val="6878FE8E"/>
    <w:rsid w:val="69872B50"/>
    <w:rsid w:val="6BFFD195"/>
    <w:rsid w:val="6C663340"/>
    <w:rsid w:val="6CA03F1D"/>
    <w:rsid w:val="6CA72C65"/>
    <w:rsid w:val="6D1A3575"/>
    <w:rsid w:val="6DBF31D7"/>
    <w:rsid w:val="6DEB8D86"/>
    <w:rsid w:val="6E941234"/>
    <w:rsid w:val="6F7700CA"/>
    <w:rsid w:val="6F8B6D57"/>
    <w:rsid w:val="6FF98FE0"/>
    <w:rsid w:val="70695084"/>
    <w:rsid w:val="709E02EE"/>
    <w:rsid w:val="70C8494E"/>
    <w:rsid w:val="71601DFF"/>
    <w:rsid w:val="71D37AC9"/>
    <w:rsid w:val="729F531D"/>
    <w:rsid w:val="73581653"/>
    <w:rsid w:val="73B7347A"/>
    <w:rsid w:val="73E335D0"/>
    <w:rsid w:val="744901B5"/>
    <w:rsid w:val="74732BC9"/>
    <w:rsid w:val="75D79695"/>
    <w:rsid w:val="77C43EAD"/>
    <w:rsid w:val="77DF234C"/>
    <w:rsid w:val="78406592"/>
    <w:rsid w:val="78FB3CD4"/>
    <w:rsid w:val="7988358C"/>
    <w:rsid w:val="7AD518C3"/>
    <w:rsid w:val="7AF79609"/>
    <w:rsid w:val="7B6F6045"/>
    <w:rsid w:val="7B7E5B06"/>
    <w:rsid w:val="7C094E31"/>
    <w:rsid w:val="7CF6AAAC"/>
    <w:rsid w:val="7DE5EA3F"/>
    <w:rsid w:val="7E06136E"/>
    <w:rsid w:val="7E6D07AC"/>
    <w:rsid w:val="7ECF76DA"/>
    <w:rsid w:val="7EDFD65D"/>
    <w:rsid w:val="7EF5E665"/>
    <w:rsid w:val="7EFFDD1E"/>
    <w:rsid w:val="7F023A54"/>
    <w:rsid w:val="7F4E1F44"/>
    <w:rsid w:val="7FBF41A9"/>
    <w:rsid w:val="7FD76E41"/>
    <w:rsid w:val="7FD7E5DF"/>
    <w:rsid w:val="7FDF19C3"/>
    <w:rsid w:val="7FFDAE21"/>
    <w:rsid w:val="7FFECF07"/>
    <w:rsid w:val="7FFFF419"/>
    <w:rsid w:val="96CE7211"/>
    <w:rsid w:val="97BD9954"/>
    <w:rsid w:val="9FB7EA43"/>
    <w:rsid w:val="AF7B4010"/>
    <w:rsid w:val="AFE96999"/>
    <w:rsid w:val="AFFF3234"/>
    <w:rsid w:val="B3EEF10A"/>
    <w:rsid w:val="B5FBB364"/>
    <w:rsid w:val="BDFB4E03"/>
    <w:rsid w:val="BFB2021E"/>
    <w:rsid w:val="BFFEB3B6"/>
    <w:rsid w:val="CBFFF19F"/>
    <w:rsid w:val="CEE7E879"/>
    <w:rsid w:val="CEFFAA39"/>
    <w:rsid w:val="CFEF2739"/>
    <w:rsid w:val="D0B70067"/>
    <w:rsid w:val="D7FB88A2"/>
    <w:rsid w:val="DBA71FBC"/>
    <w:rsid w:val="DBE7515A"/>
    <w:rsid w:val="DBFB176B"/>
    <w:rsid w:val="DCFEB2CD"/>
    <w:rsid w:val="DD7F923D"/>
    <w:rsid w:val="DEEF2DD0"/>
    <w:rsid w:val="DF3DA1D1"/>
    <w:rsid w:val="DF3F7BCA"/>
    <w:rsid w:val="DFF97697"/>
    <w:rsid w:val="E4F1BB2E"/>
    <w:rsid w:val="EE4240A5"/>
    <w:rsid w:val="EFDA31BF"/>
    <w:rsid w:val="EFFF3FF9"/>
    <w:rsid w:val="F2D78A7B"/>
    <w:rsid w:val="F2F71977"/>
    <w:rsid w:val="F3F76A02"/>
    <w:rsid w:val="F7B392DC"/>
    <w:rsid w:val="F7FF25ED"/>
    <w:rsid w:val="FA7DE6CF"/>
    <w:rsid w:val="FB7EA47F"/>
    <w:rsid w:val="FBEE8A0F"/>
    <w:rsid w:val="FDB7676D"/>
    <w:rsid w:val="FF76C64D"/>
    <w:rsid w:val="FF9EC553"/>
    <w:rsid w:val="FFB77BE9"/>
    <w:rsid w:val="FFD1C646"/>
    <w:rsid w:val="FFDE5613"/>
    <w:rsid w:val="FFF3CB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60" w:lineRule="exact"/>
      <w:ind w:firstLine="720" w:firstLineChars="200"/>
      <w:outlineLvl w:val="0"/>
    </w:pPr>
    <w:rPr>
      <w:rFonts w:ascii="宋体" w:hAnsi="宋体" w:eastAsia="黑体" w:cs="宋体"/>
      <w:kern w:val="44"/>
      <w:sz w:val="32"/>
      <w:szCs w:val="24"/>
    </w:rPr>
  </w:style>
  <w:style w:type="paragraph" w:styleId="3">
    <w:name w:val="heading 2"/>
    <w:basedOn w:val="1"/>
    <w:next w:val="1"/>
    <w:qFormat/>
    <w:uiPriority w:val="0"/>
    <w:pPr>
      <w:spacing w:line="560" w:lineRule="exact"/>
      <w:ind w:firstLine="640" w:firstLineChars="200"/>
      <w:outlineLvl w:val="1"/>
    </w:pPr>
    <w:rPr>
      <w:rFonts w:ascii="宋体" w:hAnsi="宋体" w:eastAsia="楷体_GB2312"/>
      <w:bCs/>
      <w:kern w:val="0"/>
      <w:sz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5">
    <w:name w:val="index 8"/>
    <w:basedOn w:val="1"/>
    <w:next w:val="1"/>
    <w:qFormat/>
    <w:uiPriority w:val="0"/>
    <w:pPr>
      <w:widowControl w:val="0"/>
      <w:ind w:left="1400" w:leftChars="1400"/>
      <w:jc w:val="both"/>
    </w:pPr>
    <w:rPr>
      <w:rFonts w:ascii="Calibri" w:hAnsi="Calibri" w:eastAsia="仿宋_GB2312" w:cs="Times New Roman"/>
      <w:kern w:val="2"/>
      <w:sz w:val="32"/>
      <w:szCs w:val="24"/>
      <w:lang w:val="en-US" w:eastAsia="zh-CN" w:bidi="ar-SA"/>
    </w:rPr>
  </w:style>
  <w:style w:type="paragraph" w:styleId="6">
    <w:name w:val="Normal Indent"/>
    <w:basedOn w:val="1"/>
    <w:next w:val="7"/>
    <w:unhideWhenUsed/>
    <w:qFormat/>
    <w:uiPriority w:val="99"/>
    <w:pPr>
      <w:ind w:firstLine="420" w:firstLineChars="200"/>
    </w:pPr>
  </w:style>
  <w:style w:type="paragraph" w:customStyle="1" w:styleId="7">
    <w:name w:val="6-正文"/>
    <w:basedOn w:val="1"/>
    <w:qFormat/>
    <w:uiPriority w:val="0"/>
    <w:pPr>
      <w:spacing w:line="360" w:lineRule="auto"/>
      <w:ind w:firstLine="200" w:firstLineChars="200"/>
    </w:pPr>
    <w:rPr>
      <w:sz w:val="24"/>
      <w:szCs w:val="28"/>
    </w:rPr>
  </w:style>
  <w:style w:type="paragraph" w:styleId="8">
    <w:name w:val="annotation text"/>
    <w:basedOn w:val="1"/>
    <w:semiHidden/>
    <w:unhideWhenUsed/>
    <w:qFormat/>
    <w:uiPriority w:val="99"/>
    <w:pPr>
      <w:jc w:val="left"/>
    </w:pPr>
  </w:style>
  <w:style w:type="paragraph" w:styleId="9">
    <w:name w:val="Body Text"/>
    <w:basedOn w:val="1"/>
    <w:qFormat/>
    <w:uiPriority w:val="0"/>
    <w:rPr>
      <w:rFonts w:ascii="宋体" w:hAnsi="宋体" w:eastAsia="宋体" w:cs="宋体"/>
      <w:sz w:val="32"/>
      <w:szCs w:val="32"/>
    </w:rPr>
  </w:style>
  <w:style w:type="paragraph" w:styleId="10">
    <w:name w:val="Body Text Indent"/>
    <w:basedOn w:val="1"/>
    <w:qFormat/>
    <w:uiPriority w:val="0"/>
    <w:pPr>
      <w:spacing w:line="520" w:lineRule="atLeast"/>
      <w:ind w:firstLine="720"/>
    </w:pPr>
    <w:rPr>
      <w:rFonts w:ascii="仿宋_GB2312" w:eastAsia="仿宋_GB2312"/>
      <w:sz w:val="36"/>
      <w:szCs w:val="20"/>
    </w:rPr>
  </w:style>
  <w:style w:type="paragraph" w:styleId="11">
    <w:name w:val="toc 3"/>
    <w:basedOn w:val="1"/>
    <w:next w:val="1"/>
    <w:unhideWhenUsed/>
    <w:qFormat/>
    <w:uiPriority w:val="39"/>
    <w:pPr>
      <w:ind w:left="840" w:leftChars="400"/>
    </w:pPr>
  </w:style>
  <w:style w:type="paragraph" w:styleId="12">
    <w:name w:val="Plain Text"/>
    <w:basedOn w:val="1"/>
    <w:next w:val="5"/>
    <w:qFormat/>
    <w:uiPriority w:val="0"/>
    <w:rPr>
      <w:rFonts w:ascii="宋体" w:hAnsi="Courier New"/>
      <w:szCs w:val="20"/>
    </w:rPr>
  </w:style>
  <w:style w:type="paragraph" w:styleId="13">
    <w:name w:val="Balloon Text"/>
    <w:basedOn w:val="1"/>
    <w:link w:val="33"/>
    <w:unhideWhenUsed/>
    <w:qFormat/>
    <w:uiPriority w:val="99"/>
    <w:rPr>
      <w:sz w:val="18"/>
      <w:szCs w:val="18"/>
    </w:rPr>
  </w:style>
  <w:style w:type="paragraph" w:styleId="14">
    <w:name w:val="footer"/>
    <w:basedOn w:val="1"/>
    <w:link w:val="34"/>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index heading"/>
    <w:basedOn w:val="1"/>
    <w:next w:val="18"/>
    <w:qFormat/>
    <w:uiPriority w:val="0"/>
    <w:pPr>
      <w:suppressAutoHyphens/>
    </w:pPr>
    <w:rPr>
      <w:rFonts w:ascii="Arial" w:hAnsi="Arial"/>
      <w:b/>
    </w:rPr>
  </w:style>
  <w:style w:type="paragraph" w:styleId="18">
    <w:name w:val="index 1"/>
    <w:basedOn w:val="1"/>
    <w:next w:val="1"/>
    <w:unhideWhenUsed/>
    <w:qFormat/>
    <w:uiPriority w:val="99"/>
  </w:style>
  <w:style w:type="paragraph" w:styleId="19">
    <w:name w:val="footnote text"/>
    <w:basedOn w:val="1"/>
    <w:qFormat/>
    <w:uiPriority w:val="0"/>
    <w:pPr>
      <w:snapToGrid w:val="0"/>
      <w:jc w:val="left"/>
    </w:pPr>
    <w:rPr>
      <w:sz w:val="18"/>
    </w:rPr>
  </w:style>
  <w:style w:type="paragraph" w:styleId="20">
    <w:name w:val="index 9"/>
    <w:basedOn w:val="1"/>
    <w:next w:val="1"/>
    <w:qFormat/>
    <w:uiPriority w:val="0"/>
    <w:pPr>
      <w:ind w:left="1600" w:leftChars="1600"/>
    </w:pPr>
  </w:style>
  <w:style w:type="paragraph" w:styleId="21">
    <w:name w:val="toc 2"/>
    <w:basedOn w:val="1"/>
    <w:next w:val="1"/>
    <w:unhideWhenUsed/>
    <w:qFormat/>
    <w:uiPriority w:val="39"/>
    <w:pPr>
      <w:widowControl/>
      <w:spacing w:after="100" w:line="276" w:lineRule="auto"/>
      <w:ind w:left="220"/>
      <w:jc w:val="left"/>
    </w:pPr>
    <w:rPr>
      <w:kern w:val="0"/>
      <w:sz w:val="22"/>
    </w:rPr>
  </w:style>
  <w:style w:type="paragraph" w:styleId="22">
    <w:name w:val="Normal (Web)"/>
    <w:basedOn w:val="1"/>
    <w:unhideWhenUsed/>
    <w:qFormat/>
    <w:uiPriority w:val="99"/>
    <w:pPr>
      <w:spacing w:before="100" w:beforeAutospacing="1" w:after="100" w:afterAutospacing="1"/>
      <w:jc w:val="left"/>
    </w:pPr>
    <w:rPr>
      <w:rFonts w:ascii="Times New Roman" w:hAnsi="Times New Roman"/>
      <w:kern w:val="0"/>
      <w:sz w:val="24"/>
    </w:rPr>
  </w:style>
  <w:style w:type="paragraph" w:styleId="23">
    <w:name w:val="Title"/>
    <w:qFormat/>
    <w:uiPriority w:val="0"/>
    <w:pPr>
      <w:widowControl w:val="0"/>
      <w:adjustRightInd w:val="0"/>
      <w:spacing w:line="560" w:lineRule="exact"/>
      <w:jc w:val="center"/>
      <w:outlineLvl w:val="0"/>
    </w:pPr>
    <w:rPr>
      <w:rFonts w:ascii="方正小标宋简体" w:hAnsi="方正小标宋简体" w:eastAsia="方正小标宋简体" w:cs="Times New Roman"/>
      <w:kern w:val="2"/>
      <w:sz w:val="44"/>
      <w:szCs w:val="24"/>
      <w:lang w:val="en-US" w:eastAsia="zh-CN" w:bidi="ar-SA"/>
      <w14:ligatures w14:val="none"/>
    </w:rPr>
  </w:style>
  <w:style w:type="paragraph" w:styleId="24">
    <w:name w:val="Body Text First Indent 2"/>
    <w:basedOn w:val="10"/>
    <w:unhideWhenUsed/>
    <w:qFormat/>
    <w:uiPriority w:val="99"/>
    <w:pPr>
      <w:ind w:firstLine="420" w:firstLineChars="200"/>
    </w:pPr>
    <w:rPr>
      <w:rFonts w:ascii="Times New Roman" w:hAnsi="Times New Roman"/>
      <w:szCs w:val="24"/>
      <w:lang w:val="en-US" w:eastAsia="zh-CN"/>
    </w:rPr>
  </w:style>
  <w:style w:type="table" w:styleId="26">
    <w:name w:val="Table Grid"/>
    <w:basedOn w:val="25"/>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qFormat/>
    <w:uiPriority w:val="0"/>
  </w:style>
  <w:style w:type="character" w:styleId="29">
    <w:name w:val="Hyperlink"/>
    <w:basedOn w:val="27"/>
    <w:unhideWhenUsed/>
    <w:qFormat/>
    <w:uiPriority w:val="99"/>
    <w:rPr>
      <w:rFonts w:ascii="Times New Roman" w:hAnsi="Times New Roman" w:eastAsia="宋体" w:cs="Times New Roman"/>
      <w:color w:val="0000FF"/>
      <w:u w:val="single"/>
    </w:rPr>
  </w:style>
  <w:style w:type="character" w:styleId="30">
    <w:name w:val="footnote reference"/>
    <w:basedOn w:val="27"/>
    <w:qFormat/>
    <w:uiPriority w:val="0"/>
    <w:rPr>
      <w:vertAlign w:val="superscript"/>
    </w:rPr>
  </w:style>
  <w:style w:type="paragraph" w:customStyle="1" w:styleId="31">
    <w:name w:val="样式1标题"/>
    <w:basedOn w:val="1"/>
    <w:qFormat/>
    <w:uiPriority w:val="0"/>
    <w:pPr>
      <w:widowControl/>
      <w:tabs>
        <w:tab w:val="center" w:pos="4617"/>
        <w:tab w:val="right" w:pos="9234"/>
      </w:tabs>
      <w:spacing w:line="560" w:lineRule="exact"/>
      <w:jc w:val="center"/>
    </w:pPr>
    <w:rPr>
      <w:rFonts w:ascii="方正小标宋简体" w:hAnsi="方正小标宋简体" w:eastAsia="方正小标宋简体" w:cs="方正小标宋简体"/>
      <w:sz w:val="44"/>
      <w:szCs w:val="44"/>
    </w:rPr>
  </w:style>
  <w:style w:type="paragraph" w:customStyle="1" w:styleId="32">
    <w:name w:val="样式2小标"/>
    <w:basedOn w:val="1"/>
    <w:qFormat/>
    <w:uiPriority w:val="0"/>
    <w:pPr>
      <w:overflowPunct w:val="0"/>
      <w:spacing w:line="560" w:lineRule="exact"/>
      <w:ind w:firstLine="640" w:firstLineChars="200"/>
    </w:pPr>
    <w:rPr>
      <w:rFonts w:hint="eastAsia" w:ascii="黑体" w:hAnsi="黑体" w:eastAsia="黑体" w:cs="黑体"/>
      <w:color w:val="auto"/>
      <w:sz w:val="32"/>
      <w:szCs w:val="32"/>
    </w:rPr>
  </w:style>
  <w:style w:type="character" w:customStyle="1" w:styleId="33">
    <w:name w:val="批注框文本 Char"/>
    <w:basedOn w:val="27"/>
    <w:link w:val="13"/>
    <w:semiHidden/>
    <w:qFormat/>
    <w:uiPriority w:val="99"/>
    <w:rPr>
      <w:rFonts w:ascii="Times New Roman" w:hAnsi="Times New Roman"/>
      <w:kern w:val="2"/>
      <w:sz w:val="18"/>
      <w:szCs w:val="18"/>
    </w:rPr>
  </w:style>
  <w:style w:type="character" w:customStyle="1" w:styleId="34">
    <w:name w:val="页脚 Char"/>
    <w:basedOn w:val="27"/>
    <w:link w:val="14"/>
    <w:qFormat/>
    <w:uiPriority w:val="99"/>
    <w:rPr>
      <w:rFonts w:ascii="Times New Roman" w:hAnsi="Times New Roman"/>
      <w:kern w:val="2"/>
      <w:sz w:val="18"/>
      <w:szCs w:val="18"/>
    </w:rPr>
  </w:style>
  <w:style w:type="character" w:customStyle="1" w:styleId="35">
    <w:name w:val="页眉 Char"/>
    <w:basedOn w:val="27"/>
    <w:link w:val="15"/>
    <w:semiHidden/>
    <w:qFormat/>
    <w:uiPriority w:val="99"/>
    <w:rPr>
      <w:rFonts w:ascii="Times New Roman" w:hAnsi="Times New Roman"/>
      <w:kern w:val="2"/>
      <w:sz w:val="18"/>
      <w:szCs w:val="18"/>
    </w:rPr>
  </w:style>
  <w:style w:type="paragraph" w:customStyle="1" w:styleId="36">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Calibri"/>
      <w:kern w:val="2"/>
      <w:sz w:val="21"/>
      <w:szCs w:val="21"/>
      <w:lang w:val="en-US" w:eastAsia="zh-CN" w:bidi="ar"/>
    </w:rPr>
  </w:style>
  <w:style w:type="character" w:customStyle="1" w:styleId="37">
    <w:name w:val="NormalCharacter"/>
    <w:semiHidden/>
    <w:qFormat/>
    <w:uiPriority w:val="0"/>
  </w:style>
  <w:style w:type="paragraph" w:customStyle="1" w:styleId="38">
    <w:name w:val="正文文本1"/>
    <w:qFormat/>
    <w:uiPriority w:val="0"/>
    <w:pPr>
      <w:widowControl w:val="0"/>
      <w:spacing w:after="140" w:line="276" w:lineRule="auto"/>
      <w:jc w:val="both"/>
    </w:pPr>
    <w:rPr>
      <w:rFonts w:ascii="Calibri" w:hAnsi="Calibri" w:eastAsia="仿宋_GB2312" w:cs="Times New Roman"/>
      <w:kern w:val="2"/>
      <w:sz w:val="32"/>
      <w:szCs w:val="24"/>
      <w:lang w:val="en-US" w:eastAsia="zh-CN" w:bidi="ar-SA"/>
    </w:rPr>
  </w:style>
  <w:style w:type="character" w:customStyle="1" w:styleId="39">
    <w:name w:val="font31"/>
    <w:basedOn w:val="27"/>
    <w:qFormat/>
    <w:uiPriority w:val="0"/>
    <w:rPr>
      <w:rFonts w:hint="eastAsia" w:ascii="仿宋_GB2312" w:eastAsia="仿宋_GB2312" w:cs="仿宋_GB2312"/>
      <w:color w:val="000000"/>
      <w:sz w:val="30"/>
      <w:szCs w:val="30"/>
      <w:u w:val="none"/>
    </w:rPr>
  </w:style>
  <w:style w:type="paragraph" w:customStyle="1" w:styleId="40">
    <w:name w:val="BodyText"/>
    <w:qFormat/>
    <w:uiPriority w:val="0"/>
    <w:pPr>
      <w:widowControl w:val="0"/>
      <w:spacing w:after="120"/>
      <w:jc w:val="both"/>
      <w:textAlignment w:val="baseline"/>
    </w:pPr>
    <w:rPr>
      <w:rFonts w:ascii="等线" w:hAnsi="等线" w:eastAsia="等线" w:cs="Times New Roman"/>
      <w:kern w:val="2"/>
      <w:sz w:val="21"/>
      <w:szCs w:val="22"/>
      <w:lang w:val="en-US" w:eastAsia="zh-CN" w:bidi="ar-SA"/>
    </w:rPr>
  </w:style>
  <w:style w:type="paragraph" w:customStyle="1" w:styleId="41">
    <w:name w:val="样式7"/>
    <w:basedOn w:val="1"/>
    <w:qFormat/>
    <w:uiPriority w:val="0"/>
    <w:pPr>
      <w:spacing w:before="50" w:beforeLines="50" w:line="560" w:lineRule="exact"/>
      <w:jc w:val="center"/>
    </w:pPr>
    <w:rPr>
      <w:rFonts w:hint="eastAsia" w:ascii="方正小标宋简体" w:hAnsi="方正小标宋简体" w:eastAsia="方正小标宋简体" w:cs="方正小标宋简体"/>
      <w:sz w:val="36"/>
      <w:szCs w:val="36"/>
    </w:rPr>
  </w:style>
  <w:style w:type="paragraph" w:customStyle="1" w:styleId="42">
    <w:name w:val="样式4"/>
    <w:basedOn w:val="1"/>
    <w:qFormat/>
    <w:uiPriority w:val="0"/>
    <w:pPr>
      <w:spacing w:before="100" w:beforeLines="100" w:after="50" w:afterLines="50" w:line="560" w:lineRule="exact"/>
      <w:jc w:val="center"/>
    </w:pPr>
    <w:rPr>
      <w:rFonts w:hint="eastAsia" w:ascii="方正小标宋简体" w:hAnsi="方正小标宋简体" w:eastAsia="方正小标宋简体"/>
      <w:sz w:val="44"/>
      <w:szCs w:val="44"/>
    </w:rPr>
  </w:style>
  <w:style w:type="paragraph" w:customStyle="1" w:styleId="43">
    <w:name w:val="样式6"/>
    <w:basedOn w:val="1"/>
    <w:qFormat/>
    <w:uiPriority w:val="0"/>
    <w:pPr>
      <w:overflowPunct w:val="0"/>
      <w:spacing w:line="560" w:lineRule="exact"/>
      <w:ind w:firstLine="640" w:firstLineChars="200"/>
    </w:pPr>
    <w:rPr>
      <w:rFonts w:hint="eastAsia" w:ascii="黑体" w:hAnsi="黑体" w:eastAsia="黑体"/>
      <w:sz w:val="32"/>
      <w:szCs w:val="32"/>
    </w:rPr>
  </w:style>
  <w:style w:type="paragraph" w:customStyle="1" w:styleId="44">
    <w:name w:val="样式8"/>
    <w:basedOn w:val="1"/>
    <w:qFormat/>
    <w:uiPriority w:val="0"/>
    <w:pPr>
      <w:spacing w:line="560" w:lineRule="exact"/>
      <w:jc w:val="center"/>
    </w:pPr>
    <w:rPr>
      <w:rFonts w:hint="eastAsia" w:ascii="方正小标宋简体" w:hAnsi="方正小标宋简体" w:eastAsia="方正小标宋简体" w:cs="Calibri"/>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44</Pages>
  <Words>844</Words>
  <Characters>873</Characters>
  <Lines>16</Lines>
  <Paragraphs>4</Paragraphs>
  <TotalTime>0</TotalTime>
  <ScaleCrop>false</ScaleCrop>
  <LinksUpToDate>false</LinksUpToDate>
  <CharactersWithSpaces>873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2019-07-28T14:55:00Z</dcterms:created>
  <dc:creator>825-4</dc:creator>
  <cp:lastModifiedBy>术士</cp:lastModifiedBy>
  <cp:lastPrinted>2024-12-19T11:12:00Z</cp:lastPrinted>
  <dcterms:modified xsi:type="dcterms:W3CDTF">2025-01-22T07:17:46Z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CDAECFAAEF5741C4B6EDC84E1917D905_13</vt:lpwstr>
  </property>
  <property fmtid="{D5CDD505-2E9C-101B-9397-08002B2CF9AE}" pid="4" name="KSOTemplateDocerSaveRecord">
    <vt:lpwstr>eyJoZGlkIjoiYmRkZmEyNTc0ZDk5ODU3ZDI5ZjBjMDBjNDZjMzhhNTUiLCJ1c2VySWQiOiI0OTE3MDUzMDEifQ==</vt:lpwstr>
  </property>
</Properties>
</file>