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3038"/>
        </w:tabs>
        <w:adjustRightInd w:val="0"/>
        <w:snapToGrid w:val="0"/>
        <w:ind w:firstLine="0" w:firstLineChars="0"/>
        <w:rPr>
          <w:rFonts w:ascii="黑体" w:hAnsi="黑体" w:eastAsia="黑体" w:cs="方正小标宋简体"/>
          <w:sz w:val="28"/>
          <w:szCs w:val="28"/>
          <w:lang w:val="en-US"/>
        </w:rPr>
      </w:pPr>
      <w:bookmarkStart w:id="0" w:name="TITLE"/>
      <w:r>
        <w:rPr>
          <w:rFonts w:hint="eastAsia" w:ascii="黑体" w:hAnsi="黑体" w:eastAsia="黑体" w:cs="方正小标宋简体"/>
          <w:sz w:val="28"/>
          <w:szCs w:val="28"/>
        </w:rPr>
        <w:t>区十七届</w:t>
      </w:r>
      <w:r>
        <w:rPr>
          <w:rFonts w:hint="eastAsia" w:ascii="黑体" w:hAnsi="黑体" w:eastAsia="黑体" w:cs="方正小标宋简体"/>
          <w:sz w:val="28"/>
          <w:szCs w:val="28"/>
          <w:lang w:val="en-US"/>
        </w:rPr>
        <w:t>四</w:t>
      </w:r>
      <w:r>
        <w:rPr>
          <w:rFonts w:hint="eastAsia" w:ascii="黑体" w:hAnsi="黑体" w:eastAsia="黑体" w:cs="方正小标宋简体"/>
          <w:sz w:val="28"/>
          <w:szCs w:val="28"/>
        </w:rPr>
        <w:t>次人代会</w:t>
      </w:r>
      <w:r>
        <w:rPr>
          <w:rFonts w:hint="eastAsia" w:ascii="黑体" w:hAnsi="黑体" w:eastAsia="黑体" w:cs="方正小标宋简体"/>
          <w:sz w:val="28"/>
          <w:szCs w:val="28"/>
          <w:lang w:val="en-US"/>
        </w:rPr>
        <w:t xml:space="preserve">             </w:t>
      </w:r>
    </w:p>
    <w:p>
      <w:pPr>
        <w:pStyle w:val="9"/>
        <w:tabs>
          <w:tab w:val="left" w:pos="3038"/>
        </w:tabs>
        <w:adjustRightInd w:val="0"/>
        <w:snapToGrid w:val="0"/>
        <w:ind w:firstLine="0" w:firstLineChars="0"/>
        <w:rPr>
          <w:rFonts w:ascii="黑体" w:hAnsi="黑体" w:eastAsia="黑体" w:cs="方正小标宋简体"/>
          <w:sz w:val="28"/>
          <w:szCs w:val="28"/>
        </w:rPr>
      </w:pPr>
      <w:r>
        <w:rPr>
          <w:rFonts w:hint="eastAsia" w:ascii="黑体" w:hAnsi="黑体" w:eastAsia="黑体" w:cs="方正小标宋简体"/>
          <w:sz w:val="28"/>
          <w:szCs w:val="28"/>
        </w:rPr>
        <w:t>会 议 文 件   之</w:t>
      </w:r>
      <w:r>
        <w:rPr>
          <w:rFonts w:hint="eastAsia" w:ascii="黑体" w:hAnsi="黑体" w:eastAsia="黑体" w:cs="方正小标宋简体"/>
          <w:sz w:val="28"/>
          <w:szCs w:val="28"/>
          <w:lang w:val="en-US"/>
        </w:rPr>
        <w:t>六</w:t>
      </w:r>
    </w:p>
    <w:p>
      <w:pPr>
        <w:adjustRightInd w:val="0"/>
        <w:ind w:firstLine="960"/>
        <w:jc w:val="center"/>
        <w:textAlignment w:val="baseline"/>
        <w:rPr>
          <w:rFonts w:ascii="黑体" w:hAnsi="宋体" w:eastAsia="黑体" w:cs="黑体"/>
          <w:kern w:val="0"/>
          <w:sz w:val="48"/>
          <w:szCs w:val="48"/>
        </w:rPr>
      </w:pPr>
    </w:p>
    <w:p>
      <w:pPr>
        <w:adjustRightInd w:val="0"/>
        <w:ind w:firstLine="960"/>
        <w:jc w:val="center"/>
        <w:textAlignment w:val="baseline"/>
        <w:rPr>
          <w:rFonts w:ascii="黑体" w:hAnsi="宋体" w:eastAsia="黑体" w:cs="黑体"/>
          <w:kern w:val="0"/>
          <w:sz w:val="48"/>
          <w:szCs w:val="48"/>
        </w:rPr>
      </w:pPr>
    </w:p>
    <w:p>
      <w:pPr>
        <w:adjustRightInd w:val="0"/>
        <w:ind w:firstLine="960"/>
        <w:jc w:val="center"/>
        <w:textAlignment w:val="baseline"/>
        <w:rPr>
          <w:rFonts w:ascii="黑体" w:hAnsi="宋体" w:eastAsia="黑体" w:cs="黑体"/>
          <w:kern w:val="0"/>
          <w:sz w:val="48"/>
          <w:szCs w:val="48"/>
        </w:rPr>
      </w:pPr>
    </w:p>
    <w:p>
      <w:pPr>
        <w:pStyle w:val="9"/>
        <w:adjustRightInd w:val="0"/>
        <w:snapToGrid w:val="0"/>
        <w:spacing w:line="700" w:lineRule="exact"/>
        <w:ind w:firstLine="0" w:firstLineChars="0"/>
        <w:jc w:val="center"/>
        <w:rPr>
          <w:rFonts w:ascii="方正小标宋简体" w:eastAsia="方正小标宋简体" w:cs="方正小标宋简体"/>
          <w:sz w:val="52"/>
          <w:szCs w:val="52"/>
        </w:rPr>
      </w:pPr>
      <w:r>
        <w:rPr>
          <w:rFonts w:hint="eastAsia" w:ascii="方正小标宋简体" w:eastAsia="方正小标宋简体" w:cs="方正小标宋简体"/>
          <w:spacing w:val="6"/>
          <w:sz w:val="52"/>
          <w:szCs w:val="52"/>
        </w:rPr>
        <w:t>海淀区202</w:t>
      </w:r>
      <w:r>
        <w:rPr>
          <w:rFonts w:hint="eastAsia" w:ascii="方正小标宋简体" w:eastAsia="方正小标宋简体" w:cs="方正小标宋简体"/>
          <w:spacing w:val="6"/>
          <w:sz w:val="52"/>
          <w:szCs w:val="52"/>
          <w:lang w:val="en-US"/>
        </w:rPr>
        <w:t>3</w:t>
      </w:r>
      <w:r>
        <w:rPr>
          <w:rFonts w:hint="eastAsia" w:ascii="方正小标宋简体" w:eastAsia="方正小标宋简体" w:cs="方正小标宋简体"/>
          <w:spacing w:val="6"/>
          <w:sz w:val="52"/>
          <w:szCs w:val="52"/>
        </w:rPr>
        <w:t>年预算执行情况</w:t>
      </w:r>
      <w:r>
        <w:rPr>
          <w:rFonts w:hint="eastAsia" w:ascii="方正小标宋简体" w:eastAsia="方正小标宋简体" w:cs="方正小标宋简体"/>
          <w:sz w:val="52"/>
          <w:szCs w:val="52"/>
        </w:rPr>
        <w:t>和</w:t>
      </w:r>
    </w:p>
    <w:p>
      <w:pPr>
        <w:pStyle w:val="9"/>
        <w:adjustRightInd w:val="0"/>
        <w:snapToGrid w:val="0"/>
        <w:spacing w:line="700" w:lineRule="exact"/>
        <w:ind w:firstLine="0" w:firstLineChars="0"/>
        <w:jc w:val="center"/>
        <w:rPr>
          <w:rFonts w:ascii="方正小标宋简体" w:eastAsia="方正小标宋简体" w:cs="方正小标宋简体"/>
          <w:sz w:val="52"/>
          <w:szCs w:val="52"/>
        </w:rPr>
      </w:pPr>
      <w:r>
        <w:rPr>
          <w:rFonts w:hint="eastAsia" w:ascii="方正小标宋简体" w:eastAsia="方正小标宋简体" w:cs="方正小标宋简体"/>
          <w:spacing w:val="6"/>
          <w:sz w:val="52"/>
          <w:szCs w:val="52"/>
          <w:lang w:val="en-US"/>
        </w:rPr>
        <w:t>2024</w:t>
      </w:r>
      <w:r>
        <w:rPr>
          <w:rFonts w:hint="eastAsia" w:ascii="方正小标宋简体" w:eastAsia="方正小标宋简体" w:cs="方正小标宋简体"/>
          <w:spacing w:val="6"/>
          <w:sz w:val="52"/>
          <w:szCs w:val="52"/>
        </w:rPr>
        <w:t>年预算（草案）的报</w:t>
      </w:r>
      <w:r>
        <w:rPr>
          <w:rFonts w:hint="eastAsia" w:ascii="方正小标宋简体" w:eastAsia="方正小标宋简体" w:cs="方正小标宋简体"/>
          <w:sz w:val="52"/>
          <w:szCs w:val="52"/>
        </w:rPr>
        <w:t>告</w:t>
      </w:r>
    </w:p>
    <w:p>
      <w:pPr>
        <w:adjustRightInd w:val="0"/>
        <w:ind w:firstLine="0" w:firstLineChars="0"/>
        <w:jc w:val="center"/>
        <w:textAlignment w:val="baseline"/>
        <w:rPr>
          <w:rFonts w:ascii="黑体" w:hAnsi="宋体" w:eastAsia="黑体"/>
          <w:kern w:val="0"/>
          <w:sz w:val="48"/>
          <w:szCs w:val="48"/>
        </w:rPr>
      </w:pPr>
    </w:p>
    <w:p>
      <w:pPr>
        <w:adjustRightInd w:val="0"/>
        <w:ind w:firstLine="0" w:firstLineChars="0"/>
        <w:textAlignment w:val="baseline"/>
        <w:rPr>
          <w:rFonts w:ascii="方正小标宋简体" w:hAnsi="宋体" w:eastAsia="方正小标宋简体"/>
          <w:kern w:val="0"/>
          <w:sz w:val="36"/>
          <w:szCs w:val="36"/>
        </w:rPr>
      </w:pPr>
    </w:p>
    <w:p>
      <w:pPr>
        <w:adjustRightInd w:val="0"/>
        <w:ind w:firstLine="0" w:firstLineChars="0"/>
        <w:textAlignment w:val="baseline"/>
        <w:rPr>
          <w:rFonts w:ascii="方正小标宋简体" w:hAnsi="宋体" w:eastAsia="方正小标宋简体"/>
          <w:kern w:val="0"/>
          <w:sz w:val="36"/>
          <w:szCs w:val="36"/>
        </w:rPr>
      </w:pPr>
    </w:p>
    <w:p>
      <w:pPr>
        <w:adjustRightInd w:val="0"/>
        <w:ind w:firstLine="0" w:firstLineChars="0"/>
        <w:textAlignment w:val="baseline"/>
        <w:rPr>
          <w:rFonts w:ascii="方正小标宋简体" w:hAnsi="宋体" w:eastAsia="方正小标宋简体"/>
          <w:kern w:val="0"/>
          <w:sz w:val="36"/>
          <w:szCs w:val="36"/>
        </w:rPr>
      </w:pPr>
    </w:p>
    <w:p>
      <w:pPr>
        <w:adjustRightInd w:val="0"/>
        <w:ind w:firstLine="0" w:firstLineChars="0"/>
        <w:textAlignment w:val="baseline"/>
        <w:rPr>
          <w:rFonts w:ascii="方正小标宋简体" w:hAnsi="宋体" w:eastAsia="方正小标宋简体"/>
          <w:kern w:val="0"/>
          <w:sz w:val="36"/>
          <w:szCs w:val="36"/>
        </w:rPr>
      </w:pPr>
    </w:p>
    <w:p>
      <w:pPr>
        <w:adjustRightInd w:val="0"/>
        <w:ind w:firstLine="0" w:firstLineChars="0"/>
        <w:textAlignment w:val="baseline"/>
        <w:rPr>
          <w:rFonts w:ascii="方正小标宋简体" w:hAnsi="宋体" w:eastAsia="方正小标宋简体"/>
          <w:kern w:val="0"/>
          <w:sz w:val="36"/>
          <w:szCs w:val="36"/>
        </w:rPr>
      </w:pPr>
    </w:p>
    <w:p>
      <w:pPr>
        <w:adjustRightInd w:val="0"/>
        <w:ind w:firstLine="0" w:firstLineChars="0"/>
        <w:jc w:val="center"/>
        <w:textAlignment w:val="baseline"/>
        <w:rPr>
          <w:rFonts w:ascii="方正小标宋简体" w:hAnsi="宋体" w:eastAsia="方正小标宋简体"/>
          <w:kern w:val="0"/>
          <w:sz w:val="36"/>
          <w:szCs w:val="36"/>
        </w:rPr>
      </w:pPr>
    </w:p>
    <w:p>
      <w:pPr>
        <w:adjustRightInd w:val="0"/>
        <w:ind w:firstLine="0" w:firstLineChars="0"/>
        <w:jc w:val="center"/>
        <w:textAlignment w:val="baseline"/>
        <w:rPr>
          <w:rFonts w:ascii="方正小标宋简体" w:hAnsi="宋体" w:eastAsia="方正小标宋简体"/>
          <w:kern w:val="0"/>
          <w:sz w:val="36"/>
          <w:szCs w:val="36"/>
        </w:rPr>
      </w:pPr>
    </w:p>
    <w:p>
      <w:pPr>
        <w:adjustRightInd w:val="0"/>
        <w:ind w:firstLine="0" w:firstLineChars="0"/>
        <w:jc w:val="center"/>
        <w:textAlignment w:val="baseline"/>
        <w:rPr>
          <w:rFonts w:ascii="方正小标宋简体" w:hAnsi="宋体" w:eastAsia="方正小标宋简体"/>
          <w:kern w:val="0"/>
          <w:sz w:val="36"/>
          <w:szCs w:val="36"/>
        </w:rPr>
      </w:pPr>
    </w:p>
    <w:p>
      <w:pPr>
        <w:adjustRightInd w:val="0"/>
        <w:ind w:firstLine="0" w:firstLineChars="0"/>
        <w:jc w:val="center"/>
        <w:textAlignment w:val="baseline"/>
        <w:rPr>
          <w:rFonts w:ascii="方正小标宋简体" w:hAnsi="宋体" w:eastAsia="方正小标宋简体"/>
          <w:kern w:val="0"/>
          <w:sz w:val="36"/>
          <w:szCs w:val="36"/>
        </w:rPr>
      </w:pPr>
    </w:p>
    <w:p>
      <w:pPr>
        <w:adjustRightInd w:val="0"/>
        <w:ind w:firstLine="0" w:firstLineChars="0"/>
        <w:textAlignment w:val="baseline"/>
        <w:rPr>
          <w:rFonts w:ascii="方正小标宋简体" w:hAnsi="宋体" w:eastAsia="方正小标宋简体" w:cs="方正小标宋简体"/>
          <w:kern w:val="0"/>
          <w:sz w:val="36"/>
          <w:szCs w:val="36"/>
        </w:rPr>
      </w:pPr>
    </w:p>
    <w:p>
      <w:pPr>
        <w:adjustRightInd w:val="0"/>
        <w:spacing w:line="300" w:lineRule="exact"/>
        <w:ind w:firstLine="0" w:firstLineChars="0"/>
        <w:jc w:val="center"/>
        <w:textAlignment w:val="baseline"/>
        <w:rPr>
          <w:rFonts w:ascii="方正小标宋简体" w:hAnsi="宋体" w:eastAsia="方正小标宋简体" w:cs="方正小标宋简体"/>
          <w:kern w:val="0"/>
          <w:sz w:val="36"/>
          <w:szCs w:val="36"/>
        </w:rPr>
      </w:pPr>
    </w:p>
    <w:p>
      <w:pPr>
        <w:adjustRightInd w:val="0"/>
        <w:spacing w:line="240" w:lineRule="exact"/>
        <w:ind w:firstLine="0" w:firstLineChars="0"/>
        <w:jc w:val="center"/>
        <w:textAlignment w:val="baseline"/>
        <w:rPr>
          <w:rFonts w:ascii="方正小标宋简体" w:hAnsi="宋体" w:eastAsia="方正小标宋简体" w:cs="方正小标宋简体"/>
          <w:spacing w:val="6"/>
          <w:kern w:val="0"/>
          <w:sz w:val="36"/>
          <w:szCs w:val="36"/>
        </w:rPr>
      </w:pPr>
    </w:p>
    <w:p>
      <w:pPr>
        <w:adjustRightInd w:val="0"/>
        <w:spacing w:line="240" w:lineRule="exact"/>
        <w:ind w:firstLine="0" w:firstLineChars="0"/>
        <w:jc w:val="center"/>
        <w:textAlignment w:val="baseline"/>
        <w:rPr>
          <w:rFonts w:ascii="方正小标宋简体" w:hAnsi="宋体" w:eastAsia="方正小标宋简体" w:cs="方正小标宋简体"/>
          <w:spacing w:val="6"/>
          <w:kern w:val="0"/>
          <w:sz w:val="36"/>
          <w:szCs w:val="36"/>
        </w:rPr>
      </w:pPr>
    </w:p>
    <w:p>
      <w:pPr>
        <w:adjustRightInd w:val="0"/>
        <w:spacing w:before="156" w:beforeLines="50" w:line="240" w:lineRule="exact"/>
        <w:ind w:firstLine="0" w:firstLineChars="0"/>
        <w:jc w:val="center"/>
        <w:textAlignment w:val="baseline"/>
        <w:rPr>
          <w:rFonts w:ascii="方正小标宋简体" w:hAnsi="宋体" w:eastAsia="方正小标宋简体" w:cs="方正小标宋简体"/>
          <w:spacing w:val="6"/>
          <w:kern w:val="0"/>
          <w:sz w:val="36"/>
          <w:szCs w:val="36"/>
        </w:rPr>
      </w:pPr>
    </w:p>
    <w:p>
      <w:pPr>
        <w:adjustRightInd w:val="0"/>
        <w:spacing w:line="700" w:lineRule="exact"/>
        <w:ind w:firstLine="0" w:firstLineChars="0"/>
        <w:jc w:val="center"/>
        <w:textAlignment w:val="baseline"/>
        <w:rPr>
          <w:rFonts w:ascii="方正小标宋简体" w:hAnsi="宋体" w:eastAsia="方正小标宋简体"/>
          <w:kern w:val="0"/>
          <w:sz w:val="36"/>
          <w:szCs w:val="36"/>
        </w:rPr>
      </w:pPr>
      <w:r>
        <w:rPr>
          <w:rFonts w:hint="eastAsia" w:ascii="方正小标宋简体" w:hAnsi="宋体" w:eastAsia="方正小标宋简体" w:cs="方正小标宋简体"/>
          <w:spacing w:val="6"/>
          <w:kern w:val="0"/>
          <w:sz w:val="36"/>
          <w:szCs w:val="36"/>
        </w:rPr>
        <w:t>北京市海淀区财政</w:t>
      </w:r>
      <w:r>
        <w:rPr>
          <w:rFonts w:hint="eastAsia" w:ascii="方正小标宋简体" w:hAnsi="宋体" w:eastAsia="方正小标宋简体" w:cs="方正小标宋简体"/>
          <w:kern w:val="0"/>
          <w:sz w:val="36"/>
          <w:szCs w:val="36"/>
        </w:rPr>
        <w:t>局</w:t>
      </w:r>
    </w:p>
    <w:p>
      <w:pPr>
        <w:adjustRightInd w:val="0"/>
        <w:spacing w:line="700" w:lineRule="exact"/>
        <w:ind w:firstLine="0" w:firstLineChars="0"/>
        <w:jc w:val="center"/>
        <w:textAlignment w:val="baseline"/>
        <w:rPr>
          <w:rFonts w:ascii="方正小标宋简体" w:hAnsi="宋体" w:eastAsia="方正小标宋简体"/>
          <w:kern w:val="0"/>
          <w:sz w:val="36"/>
          <w:szCs w:val="36"/>
        </w:rPr>
      </w:pPr>
      <w:r>
        <w:rPr>
          <w:rFonts w:hint="eastAsia" w:ascii="方正小标宋简体" w:hAnsi="宋体" w:eastAsia="方正小标宋简体" w:cs="方正小标宋简体"/>
          <w:spacing w:val="6"/>
          <w:kern w:val="0"/>
          <w:sz w:val="36"/>
          <w:szCs w:val="36"/>
        </w:rPr>
        <w:t>二</w:t>
      </w:r>
      <w:r>
        <w:rPr>
          <w:rFonts w:hint="eastAsia" w:ascii="宋体" w:hAnsi="宋体" w:cs="宋体"/>
          <w:spacing w:val="6"/>
          <w:kern w:val="0"/>
          <w:sz w:val="36"/>
          <w:szCs w:val="36"/>
        </w:rPr>
        <w:t>〇</w:t>
      </w:r>
      <w:r>
        <w:rPr>
          <w:rFonts w:hint="eastAsia" w:ascii="方正小标宋简体" w:hAnsi="宋体" w:eastAsia="方正小标宋简体" w:cs="方正小标宋简体"/>
          <w:spacing w:val="6"/>
          <w:kern w:val="0"/>
          <w:sz w:val="36"/>
          <w:szCs w:val="36"/>
        </w:rPr>
        <w:t>二</w:t>
      </w:r>
      <w:r>
        <w:rPr>
          <w:rFonts w:hint="eastAsia" w:ascii="宋体" w:hAnsi="宋体" w:eastAsia="方正小标宋简体" w:cs="宋体"/>
          <w:spacing w:val="6"/>
          <w:kern w:val="0"/>
          <w:sz w:val="36"/>
          <w:szCs w:val="36"/>
        </w:rPr>
        <w:t>四</w:t>
      </w:r>
      <w:r>
        <w:rPr>
          <w:rFonts w:hint="eastAsia" w:ascii="方正小标宋简体" w:hAnsi="方正小标宋简体" w:eastAsia="方正小标宋简体" w:cs="方正小标宋简体"/>
          <w:spacing w:val="6"/>
          <w:kern w:val="0"/>
          <w:sz w:val="36"/>
          <w:szCs w:val="36"/>
        </w:rPr>
        <w:t>年一</w:t>
      </w:r>
      <w:r>
        <w:rPr>
          <w:rFonts w:hint="eastAsia" w:ascii="方正小标宋简体" w:hAnsi="宋体" w:eastAsia="方正小标宋简体" w:cs="方正小标宋简体"/>
          <w:kern w:val="0"/>
          <w:sz w:val="36"/>
          <w:szCs w:val="36"/>
        </w:rPr>
        <w:t>月</w:t>
      </w:r>
    </w:p>
    <w:p>
      <w:pPr>
        <w:pStyle w:val="6"/>
        <w:ind w:left="0" w:leftChars="0" w:firstLine="0" w:firstLineChars="0"/>
        <w:sectPr>
          <w:headerReference r:id="rId5" w:type="default"/>
          <w:footerReference r:id="rId6" w:type="default"/>
          <w:pgSz w:w="11906" w:h="16838"/>
          <w:pgMar w:top="1701" w:right="1531" w:bottom="1984" w:left="1531" w:header="851" w:footer="1587" w:gutter="0"/>
          <w:pgNumType w:fmt="numberInDash" w:start="1"/>
          <w:cols w:space="0" w:num="1"/>
          <w:docGrid w:type="lines" w:linePitch="312" w:charSpace="0"/>
        </w:sectPr>
      </w:pPr>
    </w:p>
    <w:p>
      <w:pPr>
        <w:ind w:firstLine="0" w:firstLineChars="0"/>
      </w:pPr>
    </w:p>
    <w:p>
      <w:pPr>
        <w:pStyle w:val="9"/>
        <w:tabs>
          <w:tab w:val="left" w:pos="3038"/>
        </w:tabs>
        <w:adjustRightInd w:val="0"/>
        <w:snapToGrid w:val="0"/>
        <w:ind w:firstLine="0" w:firstLineChars="0"/>
        <w:jc w:val="center"/>
        <w:rPr>
          <w:rFonts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海淀区202</w:t>
      </w:r>
      <w:r>
        <w:rPr>
          <w:rFonts w:hint="eastAsia" w:ascii="方正小标宋简体" w:hAnsi="Times New Roman" w:eastAsia="方正小标宋简体" w:cs="方正小标宋简体"/>
          <w:sz w:val="44"/>
          <w:szCs w:val="44"/>
          <w:lang w:val="en-US"/>
        </w:rPr>
        <w:t>3</w:t>
      </w:r>
      <w:r>
        <w:rPr>
          <w:rFonts w:hint="eastAsia" w:ascii="方正小标宋简体" w:hAnsi="Times New Roman" w:eastAsia="方正小标宋简体" w:cs="方正小标宋简体"/>
          <w:sz w:val="44"/>
          <w:szCs w:val="44"/>
        </w:rPr>
        <w:t>年预算执行情况和</w:t>
      </w:r>
    </w:p>
    <w:p>
      <w:pPr>
        <w:pStyle w:val="9"/>
        <w:tabs>
          <w:tab w:val="left" w:pos="3038"/>
        </w:tabs>
        <w:adjustRightInd w:val="0"/>
        <w:snapToGrid w:val="0"/>
        <w:ind w:firstLine="0" w:firstLineChars="0"/>
        <w:jc w:val="center"/>
        <w:rPr>
          <w:rFonts w:ascii="方正小标宋简体" w:hAnsi="Times New Roman" w:eastAsia="方正小标宋简体" w:cs="方正小标宋简体"/>
          <w:sz w:val="44"/>
          <w:szCs w:val="44"/>
        </w:rPr>
      </w:pPr>
      <w:r>
        <w:rPr>
          <w:rFonts w:hint="eastAsia" w:ascii="方正小标宋简体" w:hAnsi="Times New Roman" w:eastAsia="方正小标宋简体" w:cs="方正小标宋简体"/>
          <w:sz w:val="44"/>
          <w:szCs w:val="44"/>
        </w:rPr>
        <w:t>202</w:t>
      </w:r>
      <w:r>
        <w:rPr>
          <w:rFonts w:hint="eastAsia" w:ascii="方正小标宋简体" w:hAnsi="Times New Roman" w:eastAsia="方正小标宋简体" w:cs="方正小标宋简体"/>
          <w:sz w:val="44"/>
          <w:szCs w:val="44"/>
          <w:lang w:val="en-US"/>
        </w:rPr>
        <w:t>4</w:t>
      </w:r>
      <w:r>
        <w:rPr>
          <w:rFonts w:hint="eastAsia" w:ascii="方正小标宋简体" w:hAnsi="Times New Roman" w:eastAsia="方正小标宋简体" w:cs="方正小标宋简体"/>
          <w:sz w:val="44"/>
          <w:szCs w:val="44"/>
        </w:rPr>
        <w:t>年预算（草案）的报告</w:t>
      </w:r>
      <w:bookmarkEnd w:id="0"/>
    </w:p>
    <w:p>
      <w:pPr>
        <w:pStyle w:val="9"/>
        <w:tabs>
          <w:tab w:val="left" w:pos="3038"/>
        </w:tabs>
        <w:adjustRightInd w:val="0"/>
        <w:snapToGrid w:val="0"/>
        <w:ind w:firstLine="0" w:firstLineChars="0"/>
        <w:jc w:val="center"/>
        <w:rPr>
          <w:rFonts w:ascii="楷体" w:hAnsi="楷体" w:eastAsia="楷体" w:cs="楷体"/>
          <w:sz w:val="32"/>
          <w:szCs w:val="32"/>
          <w:lang w:val="en-US"/>
        </w:rPr>
      </w:pPr>
    </w:p>
    <w:p>
      <w:pPr>
        <w:pStyle w:val="9"/>
        <w:tabs>
          <w:tab w:val="left" w:pos="3038"/>
        </w:tabs>
        <w:adjustRightInd w:val="0"/>
        <w:snapToGrid w:val="0"/>
        <w:ind w:firstLine="0" w:firstLineChars="0"/>
        <w:jc w:val="center"/>
        <w:rPr>
          <w:rFonts w:ascii="楷体_GB2312" w:hAnsi="楷体" w:eastAsia="楷体_GB2312" w:cs="楷体"/>
          <w:sz w:val="32"/>
          <w:szCs w:val="32"/>
          <w:lang w:val="en-US"/>
        </w:rPr>
      </w:pPr>
      <w:r>
        <w:rPr>
          <w:rFonts w:hint="eastAsia" w:ascii="方正小标宋简体" w:hAnsi="方正小标宋简体" w:eastAsia="方正小标宋简体" w:cs="方正小标宋简体"/>
          <w:sz w:val="32"/>
          <w:szCs w:val="32"/>
          <w:lang w:val="en-US"/>
        </w:rPr>
        <w:t>——</w:t>
      </w:r>
      <w:r>
        <w:rPr>
          <w:rFonts w:hint="eastAsia" w:ascii="楷体_GB2312" w:hAnsi="楷体" w:eastAsia="楷体_GB2312" w:cs="楷体"/>
          <w:sz w:val="32"/>
          <w:szCs w:val="32"/>
          <w:lang w:val="en-US"/>
        </w:rPr>
        <w:t>2024年1月 日在海淀区第十七届人民代表大会</w:t>
      </w:r>
    </w:p>
    <w:p>
      <w:pPr>
        <w:pStyle w:val="9"/>
        <w:tabs>
          <w:tab w:val="left" w:pos="3038"/>
        </w:tabs>
        <w:adjustRightInd w:val="0"/>
        <w:snapToGrid w:val="0"/>
        <w:ind w:firstLine="0" w:firstLineChars="0"/>
        <w:jc w:val="center"/>
        <w:rPr>
          <w:rFonts w:ascii="楷体_GB2312" w:hAnsi="楷体" w:eastAsia="楷体_GB2312" w:cs="楷体"/>
          <w:sz w:val="32"/>
          <w:szCs w:val="32"/>
          <w:lang w:val="en-US"/>
        </w:rPr>
      </w:pPr>
      <w:r>
        <w:rPr>
          <w:rFonts w:hint="eastAsia" w:ascii="楷体_GB2312" w:hAnsi="楷体" w:eastAsia="楷体_GB2312" w:cs="楷体"/>
          <w:sz w:val="32"/>
          <w:szCs w:val="32"/>
          <w:lang w:val="en-US"/>
        </w:rPr>
        <w:t>第四次会议上</w:t>
      </w:r>
    </w:p>
    <w:p>
      <w:pPr>
        <w:ind w:firstLine="0" w:firstLineChars="0"/>
        <w:jc w:val="center"/>
        <w:outlineLvl w:val="0"/>
        <w:rPr>
          <w:rFonts w:ascii="楷体_GB2312" w:eastAsia="楷体_GB2312"/>
          <w:spacing w:val="4"/>
        </w:rPr>
      </w:pPr>
      <w:r>
        <w:rPr>
          <w:rFonts w:hint="eastAsia" w:ascii="楷体_GB2312" w:eastAsia="楷体_GB2312"/>
          <w:spacing w:val="4"/>
        </w:rPr>
        <w:t>海淀区财政局党组书记、局长  王志伟</w:t>
      </w:r>
    </w:p>
    <w:p>
      <w:pPr>
        <w:ind w:firstLine="0" w:firstLineChars="0"/>
        <w:rPr>
          <w:rFonts w:ascii="楷体_GB2312" w:hAnsi="宋体" w:eastAsia="楷体_GB2312"/>
          <w:kern w:val="0"/>
          <w:szCs w:val="32"/>
        </w:rPr>
      </w:pPr>
    </w:p>
    <w:p>
      <w:pPr>
        <w:pStyle w:val="29"/>
        <w:jc w:val="both"/>
        <w:rPr>
          <w:rFonts w:hint="default" w:ascii="仿宋_GB2312" w:eastAsia="仿宋_GB2312" w:cs="仿宋_GB2312"/>
          <w:sz w:val="32"/>
          <w:szCs w:val="32"/>
        </w:rPr>
      </w:pPr>
      <w:r>
        <w:rPr>
          <w:rFonts w:ascii="仿宋_GB2312" w:eastAsia="仿宋_GB2312" w:cs="仿宋_GB2312"/>
          <w:sz w:val="32"/>
          <w:szCs w:val="32"/>
        </w:rPr>
        <w:t>各位代表：</w:t>
      </w:r>
    </w:p>
    <w:p>
      <w:pPr>
        <w:pStyle w:val="29"/>
        <w:ind w:firstLine="640" w:firstLineChars="200"/>
        <w:jc w:val="left"/>
        <w:rPr>
          <w:rFonts w:hint="default" w:ascii="仿宋_GB2312" w:eastAsia="仿宋_GB2312" w:cs="仿宋_GB2312"/>
          <w:sz w:val="32"/>
          <w:szCs w:val="32"/>
        </w:rPr>
      </w:pPr>
      <w:r>
        <w:rPr>
          <w:rFonts w:ascii="仿宋_GB2312" w:eastAsia="仿宋_GB2312" w:cs="仿宋_GB2312"/>
          <w:sz w:val="32"/>
          <w:szCs w:val="32"/>
        </w:rPr>
        <w:t>受海淀区人民政府委托，现将《海淀区2023年预算执行情况和2024年预算（草案）的报告》提请区第十七届人大第四次会议审议。</w:t>
      </w:r>
    </w:p>
    <w:p>
      <w:pPr>
        <w:pStyle w:val="29"/>
        <w:jc w:val="left"/>
        <w:rPr>
          <w:rFonts w:hint="default" w:ascii="仿宋_GB2312" w:eastAsia="仿宋_GB2312" w:cs="仿宋_GB2312"/>
          <w:sz w:val="32"/>
          <w:szCs w:val="32"/>
        </w:rPr>
      </w:pPr>
    </w:p>
    <w:p>
      <w:pPr>
        <w:pStyle w:val="29"/>
        <w:rPr>
          <w:rFonts w:hint="default"/>
          <w:sz w:val="32"/>
          <w:szCs w:val="32"/>
        </w:rPr>
      </w:pPr>
      <w:r>
        <w:rPr>
          <w:sz w:val="32"/>
          <w:szCs w:val="32"/>
        </w:rPr>
        <w:t>第一部分  2023年预算执行情况</w:t>
      </w:r>
    </w:p>
    <w:p>
      <w:pPr>
        <w:tabs>
          <w:tab w:val="left" w:pos="3038"/>
        </w:tabs>
        <w:overflowPunct w:val="0"/>
        <w:snapToGrid w:val="0"/>
        <w:ind w:firstLine="640"/>
        <w:jc w:val="left"/>
        <w:rPr>
          <w:snapToGrid w:val="0"/>
          <w:kern w:val="0"/>
          <w:szCs w:val="32"/>
          <w:highlight w:val="yellow"/>
        </w:rPr>
      </w:pPr>
    </w:p>
    <w:p>
      <w:pPr>
        <w:ind w:firstLine="640"/>
      </w:pPr>
      <w:r>
        <w:rPr>
          <w:rFonts w:hint="eastAsia"/>
        </w:rPr>
        <w:t>2023年是全面贯彻党的二十大精神的开局之年，是三年新冠疫情防控转段后经济恢复发展的一年。在区委、区政府的坚强领导下，在区人大及其常委会的监督支持下，我们坚持以习近平新时代中国特色社会主义思想为指导，全面贯彻党的二十大、二十届二中全会以及中央经济工作会议精神，深入贯彻习近平总书记对北京重要讲话和对中关村重要指示精神，坚持稳中求进工作总基调，完整、准确、全面贯彻新发展理念，坚持“五子”联动服务和融入新发展格局，扎实开展主题教育，紧紧围绕区十三次党代会确定的奋斗目标，更好统筹发展和安全，有力促进经济总体回升向好，为海淀区高质量发展提供了坚实有力的财力保障。</w:t>
      </w:r>
    </w:p>
    <w:p>
      <w:pPr>
        <w:ind w:firstLine="640"/>
        <w:rPr>
          <w:rFonts w:ascii="黑体" w:hAnsi="黑体" w:eastAsia="黑体" w:cs="黑体"/>
        </w:rPr>
      </w:pPr>
      <w:r>
        <w:rPr>
          <w:rFonts w:hint="eastAsia" w:ascii="黑体" w:hAnsi="黑体" w:eastAsia="黑体" w:cs="黑体"/>
        </w:rPr>
        <w:t>一、2023年财政预算总体执行情况</w:t>
      </w:r>
    </w:p>
    <w:p>
      <w:pPr>
        <w:ind w:firstLine="640"/>
        <w:rPr>
          <w:rFonts w:ascii="楷体_GB2312" w:hAnsi="楷体_GB2312" w:eastAsia="楷体_GB2312" w:cs="楷体_GB2312"/>
        </w:rPr>
      </w:pPr>
      <w:r>
        <w:rPr>
          <w:rFonts w:hint="eastAsia" w:ascii="楷体_GB2312" w:hAnsi="楷体_GB2312" w:eastAsia="楷体_GB2312" w:cs="楷体_GB2312"/>
        </w:rPr>
        <w:t>（一）2023年三本预算执行情况</w:t>
      </w:r>
    </w:p>
    <w:p>
      <w:pPr>
        <w:pStyle w:val="4"/>
        <w:ind w:firstLine="643"/>
      </w:pPr>
      <w:r>
        <w:rPr>
          <w:rFonts w:hint="eastAsia"/>
        </w:rPr>
        <w:t>1.</w:t>
      </w:r>
      <w:r>
        <w:t>20</w:t>
      </w:r>
      <w:r>
        <w:rPr>
          <w:rFonts w:hint="eastAsia"/>
        </w:rPr>
        <w:t>23</w:t>
      </w:r>
      <w:r>
        <w:t>年</w:t>
      </w:r>
      <w:r>
        <w:rPr>
          <w:rFonts w:hint="eastAsia"/>
        </w:rPr>
        <w:t>一般公共预算执行情况</w:t>
      </w:r>
    </w:p>
    <w:p>
      <w:pPr>
        <w:ind w:firstLine="640"/>
      </w:pPr>
      <w:r>
        <w:t>20</w:t>
      </w:r>
      <w:r>
        <w:rPr>
          <w:rFonts w:hint="eastAsia"/>
        </w:rPr>
        <w:t>23</w:t>
      </w:r>
      <w:r>
        <w:t>年</w:t>
      </w:r>
      <w:r>
        <w:rPr>
          <w:rFonts w:hint="eastAsia"/>
        </w:rPr>
        <w:t>全区一般公共预算收入预计为866.0亿元,同比增长15.4%</w:t>
      </w:r>
      <w:r>
        <w:rPr>
          <w:rStyle w:val="28"/>
          <w:rFonts w:cs="仿宋_GB2312"/>
          <w:snapToGrid w:val="0"/>
          <w:szCs w:val="32"/>
        </w:rPr>
        <w:footnoteReference w:id="0"/>
      </w:r>
      <w:r>
        <w:rPr>
          <w:rFonts w:hint="eastAsia"/>
        </w:rPr>
        <w:t>，完成调整预算的117.8%。其中：区级一般公共预算收入548.9亿元，同比增长11.9</w:t>
      </w:r>
      <w:r>
        <w:t>%</w:t>
      </w:r>
      <w:r>
        <w:rPr>
          <w:rFonts w:hint="eastAsia"/>
        </w:rPr>
        <w:t>；市转移支付收入240.1亿元</w:t>
      </w:r>
      <w:r>
        <w:rPr>
          <w:rStyle w:val="28"/>
          <w:rFonts w:cs="仿宋_GB2312"/>
          <w:snapToGrid w:val="0"/>
          <w:szCs w:val="32"/>
        </w:rPr>
        <w:footnoteReference w:id="1"/>
      </w:r>
      <w:r>
        <w:rPr>
          <w:rFonts w:hint="eastAsia"/>
        </w:rPr>
        <w:t>；从国有资本经营预算等调入资金1.4亿元</w:t>
      </w:r>
      <w:r>
        <w:rPr>
          <w:rStyle w:val="28"/>
          <w:rFonts w:cs="仿宋_GB2312"/>
          <w:snapToGrid w:val="0"/>
          <w:szCs w:val="32"/>
        </w:rPr>
        <w:footnoteReference w:id="2"/>
      </w:r>
      <w:r>
        <w:rPr>
          <w:rFonts w:hint="eastAsia"/>
        </w:rPr>
        <w:t>；从预算稳定调节基金调入资金8.5亿元；新增地方政府一般债券4.8亿元；新增地方政府再融资债券32.0亿元；上年专项结转资金30.3亿元</w:t>
      </w:r>
      <w:r>
        <w:rPr>
          <w:rStyle w:val="28"/>
          <w:rFonts w:cs="仿宋_GB2312"/>
          <w:snapToGrid w:val="0"/>
          <w:szCs w:val="32"/>
        </w:rPr>
        <w:footnoteReference w:id="3"/>
      </w:r>
      <w:r>
        <w:rPr>
          <w:rFonts w:hint="eastAsia"/>
        </w:rPr>
        <w:t>。</w:t>
      </w:r>
    </w:p>
    <w:p>
      <w:pPr>
        <w:ind w:firstLine="640"/>
        <w:rPr>
          <w:highlight w:val="yellow"/>
        </w:rPr>
      </w:pPr>
      <w:r>
        <w:rPr>
          <w:rFonts w:hint="eastAsia"/>
        </w:rPr>
        <w:t>全区一般公共预算支出预计为866.0亿元，同比增长15.4%，完成调整预算的117.8%。其中：区级支出726.2亿元</w:t>
      </w:r>
      <w:r>
        <w:rPr>
          <w:rStyle w:val="28"/>
          <w:rFonts w:cs="仿宋_GB2312"/>
          <w:snapToGrid w:val="0"/>
          <w:szCs w:val="32"/>
        </w:rPr>
        <w:footnoteReference w:id="4"/>
      </w:r>
      <w:r>
        <w:rPr>
          <w:rFonts w:hint="eastAsia"/>
        </w:rPr>
        <w:t>，完成调整预算的108.9%；债务还本支出40.0亿元；上解市级支出30.7亿元；补充预算稳定调节基金38.8亿元</w:t>
      </w:r>
      <w:r>
        <w:rPr>
          <w:rStyle w:val="28"/>
          <w:rFonts w:cs="仿宋_GB2312"/>
          <w:snapToGrid w:val="0"/>
          <w:szCs w:val="32"/>
        </w:rPr>
        <w:footnoteReference w:id="5"/>
      </w:r>
      <w:r>
        <w:rPr>
          <w:rFonts w:hint="eastAsia"/>
        </w:rPr>
        <w:t>；结转下年继续使用的专项资金30.3亿元，占区级一般公共预算支出的4.2%。一般公共预算收支平衡。</w:t>
      </w:r>
    </w:p>
    <w:p>
      <w:pPr>
        <w:pStyle w:val="4"/>
        <w:ind w:firstLine="643"/>
      </w:pPr>
      <w:r>
        <w:rPr>
          <w:rFonts w:hint="eastAsia"/>
        </w:rPr>
        <w:t>2.2023年政府性基金预算执行情况</w:t>
      </w:r>
    </w:p>
    <w:p>
      <w:pPr>
        <w:ind w:firstLine="640"/>
        <w:rPr>
          <w:highlight w:val="yellow"/>
        </w:rPr>
      </w:pPr>
      <w:r>
        <w:rPr>
          <w:rFonts w:hint="eastAsia"/>
        </w:rPr>
        <w:t>2023年全区政府性基金预算收入预计</w:t>
      </w:r>
      <w:r>
        <w:rPr>
          <w:rFonts w:hint="eastAsia"/>
          <w:spacing w:val="-6"/>
        </w:rPr>
        <w:t>为406.8亿元，同比增长25.5%</w:t>
      </w:r>
      <w:r>
        <w:rPr>
          <w:rStyle w:val="28"/>
          <w:rFonts w:cs="仿宋_GB2312"/>
          <w:snapToGrid w:val="0"/>
          <w:spacing w:val="-6"/>
          <w:szCs w:val="32"/>
        </w:rPr>
        <w:footnoteReference w:id="6"/>
      </w:r>
      <w:r>
        <w:rPr>
          <w:rFonts w:hint="eastAsia"/>
          <w:spacing w:val="-6"/>
        </w:rPr>
        <w:t>，完成调整预算的101.3</w:t>
      </w:r>
      <w:r>
        <w:rPr>
          <w:spacing w:val="-6"/>
        </w:rPr>
        <w:t>%</w:t>
      </w:r>
      <w:r>
        <w:rPr>
          <w:rFonts w:hint="eastAsia"/>
          <w:spacing w:val="-6"/>
        </w:rPr>
        <w:t>。其中：政府性基金收入209.4亿元，完成调整预算的100.2</w:t>
      </w:r>
      <w:r>
        <w:rPr>
          <w:spacing w:val="-6"/>
        </w:rPr>
        <w:t>%</w:t>
      </w:r>
      <w:r>
        <w:rPr>
          <w:rFonts w:hint="eastAsia"/>
          <w:spacing w:val="-6"/>
        </w:rPr>
        <w:t>；市专项转移支付收入1.8亿元；新增地方政府专项债券收入190.98亿元；上年专项结转4.6亿元。</w:t>
      </w:r>
    </w:p>
    <w:p>
      <w:pPr>
        <w:ind w:firstLine="640"/>
        <w:rPr>
          <w:highlight w:val="yellow"/>
        </w:rPr>
      </w:pPr>
      <w:r>
        <w:rPr>
          <w:rFonts w:hint="eastAsia"/>
        </w:rPr>
        <w:t>全区政府性基金预算支出预计为406.8亿元，同比增长25.5%，完成调整预算的101.3</w:t>
      </w:r>
      <w:r>
        <w:t>%</w:t>
      </w:r>
      <w:r>
        <w:rPr>
          <w:rFonts w:hint="eastAsia"/>
        </w:rPr>
        <w:t>。其中：区级支出403.4亿元，完成调整预算的100.6%；上解市级支出5206万元；结转下年继续使用的专项资金2.9亿元。政府性基金预算收支平衡。</w:t>
      </w:r>
    </w:p>
    <w:p>
      <w:pPr>
        <w:pStyle w:val="4"/>
        <w:ind w:firstLine="643"/>
      </w:pPr>
      <w:r>
        <w:rPr>
          <w:rFonts w:hint="eastAsia"/>
        </w:rPr>
        <w:t>3.2023年国有资本经营预算执行情况</w:t>
      </w:r>
    </w:p>
    <w:p>
      <w:pPr>
        <w:ind w:firstLine="640"/>
      </w:pPr>
      <w:r>
        <w:rPr>
          <w:rFonts w:hint="eastAsia"/>
        </w:rPr>
        <w:t>2023年全区国有资本经营预算收入预计为4.5亿元，同比减少18.9%</w:t>
      </w:r>
      <w:r>
        <w:rPr>
          <w:rStyle w:val="28"/>
          <w:rFonts w:cs="仿宋_GB2312"/>
          <w:snapToGrid w:val="0"/>
          <w:szCs w:val="32"/>
        </w:rPr>
        <w:footnoteReference w:id="7"/>
      </w:r>
      <w:r>
        <w:rPr>
          <w:rFonts w:hint="eastAsia"/>
        </w:rPr>
        <w:t>，完成年初预算的310.6</w:t>
      </w:r>
      <w:r>
        <w:t>%</w:t>
      </w:r>
      <w:r>
        <w:rPr>
          <w:rStyle w:val="28"/>
          <w:rFonts w:cs="仿宋_GB2312"/>
          <w:snapToGrid w:val="0"/>
          <w:szCs w:val="32"/>
        </w:rPr>
        <w:footnoteReference w:id="8"/>
      </w:r>
      <w:r>
        <w:rPr>
          <w:rFonts w:hint="eastAsia"/>
        </w:rPr>
        <w:t>，其中：企业上缴利润及股利、股息收入3.7亿元；市专项转移支付收入1640万元；上年结余6579万元。</w:t>
      </w:r>
    </w:p>
    <w:p>
      <w:pPr>
        <w:ind w:firstLine="640"/>
      </w:pPr>
      <w:r>
        <w:rPr>
          <w:rFonts w:hint="eastAsia"/>
        </w:rPr>
        <w:t>全区国有资本经营预算支出预计为4.5亿元，同比减少18.9%，完成年初预算的310.6%。其中：解决历史遗留问题及改革成本支出2378万元；国有经济结构调整支出7992万元；按照国有资本经营预算收入的30%调出资金1.1亿元补充一般公共预算；本年结余2.4亿元。国有资本经营预算收支平衡。</w:t>
      </w:r>
    </w:p>
    <w:p>
      <w:pPr>
        <w:pStyle w:val="3"/>
        <w:ind w:firstLine="640"/>
      </w:pPr>
      <w:r>
        <w:rPr>
          <w:rFonts w:hint="eastAsia"/>
        </w:rPr>
        <w:t>（二）“两重”项目执行情况</w:t>
      </w:r>
    </w:p>
    <w:p>
      <w:pPr>
        <w:ind w:firstLine="640"/>
      </w:pPr>
      <w:r>
        <w:rPr>
          <w:rFonts w:hint="eastAsia"/>
        </w:rPr>
        <w:t>2023年选取“水清岸绿”—黑山扈沟水环境提升及生态修复工程、上庄家园西路环境整治提升道路大修架空线缆（电力、通信）入地工作、养老助餐服务补贴、教育互联网统一出口费用四个重点支出项目，调整预算后安排资金9030万元，实际拨付财政资金9057万元，实际支出7004万元，执行率77.6%</w:t>
      </w:r>
      <w:r>
        <w:rPr>
          <w:rStyle w:val="28"/>
          <w:rFonts w:cs="仿宋_GB2312"/>
          <w:snapToGrid w:val="0"/>
          <w:szCs w:val="32"/>
        </w:rPr>
        <w:footnoteReference w:id="9"/>
      </w:r>
      <w:r>
        <w:rPr>
          <w:rFonts w:hint="eastAsia"/>
        </w:rPr>
        <w:t>。</w:t>
      </w:r>
    </w:p>
    <w:p>
      <w:pPr>
        <w:ind w:firstLine="640"/>
        <w:rPr>
          <w:rFonts w:hAnsi="仿宋"/>
          <w:snapToGrid w:val="0"/>
          <w:kern w:val="0"/>
          <w:szCs w:val="32"/>
        </w:rPr>
      </w:pPr>
      <w:r>
        <w:rPr>
          <w:rFonts w:hint="eastAsia"/>
        </w:rPr>
        <w:t>选取“清河之洲”（树村段）滨水绿廊景观提升、海淀区北部医疗中心、清河安宁庄东路1号保障房配套小学、清河中路（毛纺路-京藏高速）道路工程、海房投平台老旧小区综合整治五个固定资产投资重大项目。根据区政府审批的政府投资计划，安排资金10.3亿元，实际拨付财政资金10.0亿元，实际支出10.0亿元，执行率97.5%。</w:t>
      </w:r>
    </w:p>
    <w:p>
      <w:pPr>
        <w:pStyle w:val="3"/>
        <w:ind w:firstLine="640"/>
      </w:pPr>
      <w:r>
        <w:rPr>
          <w:rFonts w:hint="eastAsia"/>
        </w:rPr>
        <w:t>（三）地方政府债券资金执行情况</w:t>
      </w:r>
    </w:p>
    <w:p>
      <w:pPr>
        <w:ind w:firstLine="640"/>
        <w:rPr>
          <w:highlight w:val="yellow"/>
        </w:rPr>
      </w:pPr>
      <w:r>
        <w:rPr>
          <w:rFonts w:hint="eastAsia"/>
        </w:rPr>
        <w:t>北京市财政局核定下达我区2023年新增地方政府债务限额195.78亿元，其中：新增一般债务限额4.8亿元；新增专项债务限额190.98亿元。此外，北京市财政局核定下达我区地方政府再融资一般债券32.0亿元</w:t>
      </w:r>
      <w:r>
        <w:rPr>
          <w:rStyle w:val="28"/>
        </w:rPr>
        <w:footnoteReference w:id="10"/>
      </w:r>
      <w:r>
        <w:rPr>
          <w:rFonts w:hint="eastAsia"/>
        </w:rPr>
        <w:t>。新增债券项目已全部支出，执行率100.0%。</w:t>
      </w:r>
    </w:p>
    <w:p>
      <w:pPr>
        <w:ind w:firstLine="640"/>
      </w:pPr>
      <w:r>
        <w:rPr>
          <w:rFonts w:hint="eastAsia"/>
        </w:rPr>
        <w:t>截至2023年底，我区地方政府债务限额预计为</w:t>
      </w:r>
      <w:r>
        <w:rPr>
          <w:rFonts w:hint="eastAsia" w:cs="仿宋_GB2312"/>
          <w:szCs w:val="32"/>
        </w:rPr>
        <w:t>931.17</w:t>
      </w:r>
      <w:r>
        <w:rPr>
          <w:rFonts w:hint="eastAsia"/>
        </w:rPr>
        <w:t>亿元，其中：一般债务限额</w:t>
      </w:r>
      <w:r>
        <w:rPr>
          <w:rFonts w:hint="eastAsia" w:cs="仿宋_GB2312"/>
          <w:szCs w:val="32"/>
        </w:rPr>
        <w:t>254.89</w:t>
      </w:r>
      <w:r>
        <w:rPr>
          <w:rFonts w:hint="eastAsia"/>
        </w:rPr>
        <w:t>亿元；专项债务限额</w:t>
      </w:r>
      <w:r>
        <w:rPr>
          <w:rFonts w:hint="eastAsia" w:cs="仿宋_GB2312"/>
          <w:szCs w:val="32"/>
        </w:rPr>
        <w:t>676.28</w:t>
      </w:r>
      <w:r>
        <w:rPr>
          <w:rFonts w:hint="eastAsia"/>
        </w:rPr>
        <w:t>亿元。债务余额预计为</w:t>
      </w:r>
      <w:r>
        <w:rPr>
          <w:rFonts w:hint="eastAsia" w:cs="仿宋_GB2312"/>
          <w:szCs w:val="32"/>
        </w:rPr>
        <w:t>885.25</w:t>
      </w:r>
      <w:r>
        <w:rPr>
          <w:rFonts w:hint="eastAsia"/>
        </w:rPr>
        <w:t>亿元，其中：一般债券余额</w:t>
      </w:r>
      <w:r>
        <w:rPr>
          <w:rFonts w:hint="eastAsia" w:cs="仿宋_GB2312"/>
          <w:szCs w:val="32"/>
        </w:rPr>
        <w:t>209.36</w:t>
      </w:r>
      <w:r>
        <w:rPr>
          <w:rFonts w:hint="eastAsia"/>
        </w:rPr>
        <w:t>亿元；专项债券余额</w:t>
      </w:r>
      <w:r>
        <w:rPr>
          <w:rFonts w:hint="eastAsia" w:cs="仿宋_GB2312"/>
          <w:szCs w:val="32"/>
        </w:rPr>
        <w:t>675.89</w:t>
      </w:r>
      <w:r>
        <w:rPr>
          <w:rFonts w:hint="eastAsia"/>
        </w:rPr>
        <w:t>亿元。此外，我区</w:t>
      </w:r>
      <w:r>
        <w:rPr>
          <w:rFonts w:hint="eastAsia"/>
          <w:szCs w:val="32"/>
        </w:rPr>
        <w:t>政府债务还本付息和手续费支出总额</w:t>
      </w:r>
      <w:r>
        <w:rPr>
          <w:rFonts w:hint="eastAsia"/>
        </w:rPr>
        <w:t>共计62.99亿元，其中：还本支出40.00亿元（均为一般债券），利息和手续费支出</w:t>
      </w:r>
      <w:r>
        <w:rPr>
          <w:rFonts w:hint="eastAsia" w:cs="仿宋_GB2312"/>
          <w:szCs w:val="32"/>
        </w:rPr>
        <w:t>22.99</w:t>
      </w:r>
      <w:r>
        <w:rPr>
          <w:rFonts w:hint="eastAsia"/>
        </w:rPr>
        <w:t>亿元（一般债券</w:t>
      </w:r>
      <w:r>
        <w:rPr>
          <w:rFonts w:hint="eastAsia" w:cs="仿宋_GB2312"/>
          <w:szCs w:val="32"/>
        </w:rPr>
        <w:t>6.78</w:t>
      </w:r>
      <w:r>
        <w:rPr>
          <w:rFonts w:hint="eastAsia"/>
        </w:rPr>
        <w:t>亿元，</w:t>
      </w:r>
      <w:r>
        <w:rPr>
          <w:rFonts w:hint="eastAsia"/>
          <w:spacing w:val="-6"/>
        </w:rPr>
        <w:t>专项债券</w:t>
      </w:r>
      <w:r>
        <w:rPr>
          <w:rFonts w:hint="eastAsia" w:cs="仿宋_GB2312"/>
          <w:spacing w:val="-6"/>
          <w:szCs w:val="32"/>
        </w:rPr>
        <w:t>16.21</w:t>
      </w:r>
      <w:r>
        <w:rPr>
          <w:rFonts w:hint="eastAsia"/>
          <w:spacing w:val="-6"/>
        </w:rPr>
        <w:t>亿元）。2023年我区</w:t>
      </w:r>
      <w:r>
        <w:rPr>
          <w:rFonts w:hint="eastAsia" w:cs="仿宋_GB2312"/>
          <w:snapToGrid w:val="0"/>
          <w:spacing w:val="-6"/>
          <w:szCs w:val="32"/>
        </w:rPr>
        <w:t>法定债务率</w:t>
      </w:r>
      <w:r>
        <w:rPr>
          <w:rStyle w:val="28"/>
          <w:rFonts w:cs="仿宋_GB2312"/>
          <w:snapToGrid w:val="0"/>
          <w:spacing w:val="-6"/>
          <w:szCs w:val="32"/>
        </w:rPr>
        <w:footnoteReference w:id="11"/>
      </w:r>
      <w:r>
        <w:rPr>
          <w:rFonts w:hint="eastAsia"/>
          <w:spacing w:val="-6"/>
        </w:rPr>
        <w:t>为87.3%，按照财政部地方政府债务风险等级评定标准，处于绿色区域（</w:t>
      </w:r>
      <w:r>
        <w:rPr>
          <w:rFonts w:hint="eastAsia" w:cs="仿宋_GB2312"/>
          <w:snapToGrid w:val="0"/>
          <w:spacing w:val="-6"/>
          <w:szCs w:val="32"/>
        </w:rPr>
        <w:t>债务率≤120%</w:t>
      </w:r>
      <w:r>
        <w:rPr>
          <w:rFonts w:hint="eastAsia"/>
          <w:spacing w:val="-6"/>
        </w:rPr>
        <w:t>），债务余额保持在政府债务限额以内，债务风险可控。</w:t>
      </w:r>
    </w:p>
    <w:p>
      <w:pPr>
        <w:ind w:firstLine="640"/>
        <w:rPr>
          <w:rFonts w:ascii="楷体_GB2312" w:hAnsi="楷体_GB2312" w:eastAsia="楷体_GB2312" w:cs="楷体_GB2312"/>
        </w:rPr>
      </w:pPr>
      <w:r>
        <w:rPr>
          <w:rFonts w:hint="eastAsia" w:ascii="楷体_GB2312" w:hAnsi="楷体_GB2312" w:eastAsia="楷体_GB2312" w:cs="楷体_GB2312"/>
        </w:rPr>
        <w:t>（四）政府投资计划执行情况</w:t>
      </w:r>
    </w:p>
    <w:p>
      <w:pPr>
        <w:pStyle w:val="2"/>
        <w:ind w:firstLine="640"/>
        <w:rPr>
          <w:rFonts w:ascii="仿宋_GB2312" w:hAnsi="仿宋_GB2312" w:eastAsia="仿宋_GB2312" w:cs="Times New Roman"/>
          <w:color w:val="000000" w:themeColor="text1"/>
          <w:kern w:val="2"/>
          <w:szCs w:val="20"/>
          <w14:textFill>
            <w14:solidFill>
              <w14:schemeClr w14:val="tx1"/>
            </w14:solidFill>
          </w14:textFill>
        </w:rPr>
      </w:pPr>
      <w:r>
        <w:rPr>
          <w:rFonts w:hint="eastAsia" w:ascii="仿宋_GB2312" w:hAnsi="仿宋_GB2312" w:eastAsia="仿宋_GB2312"/>
          <w:color w:val="000000" w:themeColor="text1"/>
          <w:kern w:val="2"/>
          <w:szCs w:val="20"/>
          <w14:textFill>
            <w14:solidFill>
              <w14:schemeClr w14:val="tx1"/>
            </w14:solidFill>
          </w14:textFill>
        </w:rPr>
        <w:t>2023年海淀区政府投资计划安排资金192.5亿元，其中:市级资金6.6亿元，区级资金185.9亿元。拨付资金142.2亿元</w:t>
      </w:r>
      <w:r>
        <w:rPr>
          <w:rStyle w:val="28"/>
          <w:rFonts w:hint="eastAsia" w:ascii="仿宋_GB2312" w:hAnsi="仿宋_GB2312" w:eastAsia="仿宋_GB2312"/>
        </w:rPr>
        <w:footnoteReference w:id="12"/>
      </w:r>
      <w:r>
        <w:rPr>
          <w:rFonts w:hint="eastAsia" w:ascii="仿宋_GB2312" w:hAnsi="仿宋_GB2312" w:eastAsia="仿宋_GB2312"/>
          <w:color w:val="000000" w:themeColor="text1"/>
          <w:kern w:val="2"/>
          <w:szCs w:val="20"/>
          <w14:textFill>
            <w14:solidFill>
              <w14:schemeClr w14:val="tx1"/>
            </w14:solidFill>
          </w14:textFill>
        </w:rPr>
        <w:t>，其中：市级资金44.3亿元，区级资金97.9亿元，主要用于“三山五园”地区环境整治、北部医疗中心建设、老旧小区综合整治等交通运输、环境整治、基础设施、民生保障领域。</w:t>
      </w:r>
    </w:p>
    <w:p>
      <w:pPr>
        <w:pStyle w:val="2"/>
        <w:ind w:firstLine="640"/>
      </w:pPr>
      <w:r>
        <w:rPr>
          <w:rFonts w:hint="eastAsia"/>
        </w:rPr>
        <w:t>二、2023年预算主要执行效果</w:t>
      </w:r>
    </w:p>
    <w:p>
      <w:pPr>
        <w:pStyle w:val="3"/>
        <w:ind w:firstLine="640"/>
      </w:pPr>
      <w:r>
        <w:rPr>
          <w:rFonts w:hint="eastAsia"/>
        </w:rPr>
        <w:t>（一）</w:t>
      </w:r>
      <w:r>
        <w:rPr>
          <w:rFonts w:hint="eastAsia" w:ascii="楷体_GB2312" w:cs="仿宋_GB2312"/>
          <w:snapToGrid w:val="0"/>
          <w:kern w:val="0"/>
          <w:szCs w:val="32"/>
        </w:rPr>
        <w:t>实施积极政策，经济运行回升向好</w:t>
      </w:r>
    </w:p>
    <w:p>
      <w:pPr>
        <w:tabs>
          <w:tab w:val="left" w:pos="3038"/>
        </w:tabs>
        <w:ind w:firstLine="643"/>
        <w:rPr>
          <w:bCs/>
          <w:szCs w:val="32"/>
          <w:highlight w:val="yellow"/>
        </w:rPr>
      </w:pPr>
      <w:r>
        <w:rPr>
          <w:rFonts w:hint="eastAsia" w:cs="仿宋_GB2312"/>
          <w:b/>
          <w:snapToGrid w:val="0"/>
          <w:kern w:val="0"/>
          <w:szCs w:val="32"/>
        </w:rPr>
        <w:t>有效发挥经济压舱石作用。</w:t>
      </w:r>
      <w:r>
        <w:rPr>
          <w:rFonts w:hint="eastAsia"/>
          <w:bCs/>
          <w:szCs w:val="32"/>
        </w:rPr>
        <w:t>年初以来，随着疫情及减税降费政策影响逐步弱化，我区财政收入呈现恢复性增长态势。预计全年地方级一般公共预算收入完成1216.5亿元，同比增长10.7%；区级一般公共预算收入完成548.9亿元，</w:t>
      </w:r>
      <w:r>
        <w:rPr>
          <w:rFonts w:hint="eastAsia"/>
        </w:rPr>
        <w:t>同比增长11.9</w:t>
      </w:r>
      <w:r>
        <w:t>%</w:t>
      </w:r>
      <w:r>
        <w:rPr>
          <w:rFonts w:hint="eastAsia"/>
          <w:bCs/>
          <w:szCs w:val="32"/>
        </w:rPr>
        <w:t>（年初任务4.0%），税收收入约占九成，收入结构良好，其中增值税、企业所得税、个人所得税、城市维护建设税、房产税五项主体税种合计完成规模实现同比两位数增长。本年区级收入贡献前五的行业为信息服务业、科技服务业、房地产业、制造业和金融业，反映出海淀区以信息、科研业为主体</w:t>
      </w:r>
      <w:r>
        <w:rPr>
          <w:rFonts w:hint="eastAsia" w:cs="仿宋_GB2312"/>
          <w:bCs/>
          <w:szCs w:val="32"/>
        </w:rPr>
        <w:t>的高精尖经济结构</w:t>
      </w:r>
      <w:r>
        <w:rPr>
          <w:rFonts w:hint="eastAsia"/>
          <w:bCs/>
          <w:szCs w:val="32"/>
        </w:rPr>
        <w:t>较强的发展活力。</w:t>
      </w:r>
    </w:p>
    <w:p>
      <w:pPr>
        <w:pBdr>
          <w:bottom w:val="single" w:color="FFFFFF" w:sz="4" w:space="17"/>
        </w:pBdr>
        <w:adjustRightInd w:val="0"/>
        <w:snapToGrid w:val="0"/>
        <w:ind w:firstLine="643"/>
        <w:rPr>
          <w:szCs w:val="32"/>
        </w:rPr>
      </w:pPr>
      <w:r>
        <w:rPr>
          <w:rFonts w:hint="eastAsia"/>
          <w:b/>
          <w:bCs/>
          <w:szCs w:val="32"/>
        </w:rPr>
        <w:t>精准助力市场主体纾困发展。一是</w:t>
      </w:r>
      <w:r>
        <w:rPr>
          <w:rFonts w:hint="eastAsia"/>
          <w:szCs w:val="32"/>
        </w:rPr>
        <w:t>财税部门围绕市场主体需求，抓实落实减税降费。为纳税人分类型、分身份推送减税降费新政策40批次，惠及主体6.6万余户次。2023年共1.3余万户企业享受研发费加计扣除金额1453亿元，金额占全市40%，助力先行先试优惠政策在海淀落地生根。</w:t>
      </w:r>
      <w:r>
        <w:rPr>
          <w:rFonts w:hint="eastAsia"/>
          <w:b/>
          <w:bCs/>
          <w:szCs w:val="32"/>
        </w:rPr>
        <w:t>二是</w:t>
      </w:r>
      <w:r>
        <w:rPr>
          <w:rFonts w:hint="eastAsia"/>
          <w:szCs w:val="32"/>
        </w:rPr>
        <w:t>积极推进财金协同助企专项行动。财金协同平台累计帮助2074家中小微企业解决3299笔贷款融资需求，涉及贷款总额118.8亿元；累计有967家企业申请助企专项行动补贴，涉及补贴金额1997万元。</w:t>
      </w:r>
      <w:r>
        <w:rPr>
          <w:rFonts w:hint="eastAsia"/>
          <w:b/>
          <w:bCs/>
          <w:szCs w:val="32"/>
        </w:rPr>
        <w:t>三是</w:t>
      </w:r>
      <w:r>
        <w:rPr>
          <w:rFonts w:hint="eastAsia"/>
          <w:szCs w:val="32"/>
        </w:rPr>
        <w:t>建立区级农业信贷担保体系，促进区内农业信贷担保业务顺利开展;成立海淀区农业信贷担保工作指导委员会，加强对辖区农业信贷担保工作的指导和协调。</w:t>
      </w:r>
    </w:p>
    <w:p>
      <w:pPr>
        <w:pBdr>
          <w:bottom w:val="single" w:color="FFFFFF" w:sz="4" w:space="17"/>
        </w:pBdr>
        <w:adjustRightInd w:val="0"/>
        <w:snapToGrid w:val="0"/>
        <w:ind w:firstLine="643"/>
        <w:rPr>
          <w:rFonts w:hAnsi="宋体"/>
          <w:spacing w:val="10"/>
          <w:kern w:val="0"/>
        </w:rPr>
      </w:pPr>
      <w:r>
        <w:rPr>
          <w:rFonts w:hint="eastAsia"/>
          <w:b/>
          <w:szCs w:val="32"/>
        </w:rPr>
        <w:t>深入开展财源建设服务工作。一是</w:t>
      </w:r>
      <w:r>
        <w:rPr>
          <w:rFonts w:hint="eastAsia" w:cs="仿宋_GB2312"/>
          <w:bCs/>
          <w:snapToGrid w:val="0"/>
          <w:kern w:val="0"/>
          <w:szCs w:val="32"/>
        </w:rPr>
        <w:t>研究制定《海淀区财源建设工作方案》，构建组织有力、责任清晰、运行高效、奖惩分明的工作体系，由20余家部门、29个街镇织成条块结合的财源建设网络。</w:t>
      </w:r>
      <w:r>
        <w:rPr>
          <w:rFonts w:hint="eastAsia" w:cs="仿宋_GB2312"/>
          <w:b/>
          <w:snapToGrid w:val="0"/>
          <w:kern w:val="0"/>
          <w:szCs w:val="32"/>
        </w:rPr>
        <w:t>二是</w:t>
      </w:r>
      <w:r>
        <w:rPr>
          <w:rFonts w:hint="eastAsia" w:cs="仿宋_GB2312"/>
          <w:bCs/>
          <w:snapToGrid w:val="0"/>
          <w:kern w:val="0"/>
          <w:szCs w:val="32"/>
        </w:rPr>
        <w:t>推进财源数据平台建设，整合全区近16万户企业基本情况、舆情动态、历史支持等信息，跟踪1.6万户重点企业走访对接、诉求解决、预警事项等环节，组织走访企业1.7万户次，解决企业诉求400余个，实现财源信息全链条闭环管理。</w:t>
      </w:r>
      <w:r>
        <w:rPr>
          <w:rFonts w:hint="eastAsia" w:cs="仿宋_GB2312"/>
          <w:b/>
          <w:snapToGrid w:val="0"/>
          <w:kern w:val="0"/>
          <w:szCs w:val="32"/>
        </w:rPr>
        <w:t>三是</w:t>
      </w:r>
      <w:r>
        <w:rPr>
          <w:rFonts w:hint="eastAsia"/>
          <w:szCs w:val="32"/>
        </w:rPr>
        <w:t>以专项工作为依托，加强</w:t>
      </w:r>
      <w:r>
        <w:rPr>
          <w:rFonts w:hint="eastAsia" w:hAnsi="黑体"/>
          <w:szCs w:val="32"/>
        </w:rPr>
        <w:t>企业服务、项目储备管理等工作。</w:t>
      </w:r>
      <w:r>
        <w:rPr>
          <w:rFonts w:hint="eastAsia" w:hAnsi="宋体"/>
          <w:spacing w:val="10"/>
          <w:kern w:val="0"/>
        </w:rPr>
        <w:t>通过完善制度、加强管理、优化服务等举措，</w:t>
      </w:r>
      <w:r>
        <w:rPr>
          <w:rFonts w:hint="eastAsia" w:hAnsi="宋体"/>
        </w:rPr>
        <w:t>财源建设综合考评成绩位于</w:t>
      </w:r>
      <w:r>
        <w:rPr>
          <w:rFonts w:hAnsi="宋体"/>
          <w:spacing w:val="10"/>
          <w:kern w:val="0"/>
        </w:rPr>
        <w:t>全市第</w:t>
      </w:r>
      <w:r>
        <w:rPr>
          <w:rFonts w:hint="eastAsia" w:hAnsi="宋体"/>
          <w:spacing w:val="10"/>
          <w:kern w:val="0"/>
        </w:rPr>
        <w:t>二。</w:t>
      </w:r>
    </w:p>
    <w:p>
      <w:pPr>
        <w:pBdr>
          <w:bottom w:val="single" w:color="FFFFFF" w:sz="4" w:space="17"/>
        </w:pBdr>
        <w:adjustRightInd w:val="0"/>
        <w:snapToGrid w:val="0"/>
        <w:ind w:firstLine="643"/>
        <w:rPr>
          <w:rFonts w:hAnsi="宋体"/>
          <w:bCs/>
        </w:rPr>
      </w:pPr>
      <w:r>
        <w:rPr>
          <w:rFonts w:hint="eastAsia" w:hAnsi="宋体"/>
          <w:b/>
        </w:rPr>
        <w:t>大力发挥政府采购导向功能。一是</w:t>
      </w:r>
      <w:r>
        <w:rPr>
          <w:rFonts w:hint="eastAsia" w:hAnsi="宋体"/>
          <w:bCs/>
        </w:rPr>
        <w:t>推动政府采购营商环境建设升级。先后通过采购人培训、对接银行和中标供应商等手段不断提升政府采购合同线上融资“一站式”服务水平；推动构建手续简、审批快、管理规范高效的政府采购营商环境，进一步激发市场活力，助力企业高质量发展。</w:t>
      </w:r>
      <w:r>
        <w:rPr>
          <w:rFonts w:hint="eastAsia" w:hAnsi="宋体"/>
          <w:b/>
        </w:rPr>
        <w:t>二是</w:t>
      </w:r>
      <w:r>
        <w:rPr>
          <w:rFonts w:hint="eastAsia" w:hAnsi="宋体"/>
          <w:bCs/>
        </w:rPr>
        <w:t>积极落实政府采购合同融资政策。2023年海淀区完成19家企业的19笔合同融资贷款，涉及金额2495万元。</w:t>
      </w:r>
      <w:r>
        <w:rPr>
          <w:rFonts w:hint="eastAsia" w:hAnsi="宋体"/>
          <w:b/>
        </w:rPr>
        <w:t>三是</w:t>
      </w:r>
      <w:r>
        <w:rPr>
          <w:rFonts w:hint="eastAsia" w:hAnsi="宋体"/>
          <w:bCs/>
        </w:rPr>
        <w:t xml:space="preserve">严格落实中小微扶持政策。全年预计完成政府采购金额55.7亿元，其中：中小微企业采购金额47.5亿元，占比85.3%，有效发挥政府采购“政”能量。 </w:t>
      </w:r>
    </w:p>
    <w:p>
      <w:pPr>
        <w:numPr>
          <w:ilvl w:val="0"/>
          <w:numId w:val="1"/>
        </w:numPr>
        <w:pBdr>
          <w:bottom w:val="single" w:color="FFFFFF" w:sz="4" w:space="17"/>
        </w:pBdr>
        <w:adjustRightInd w:val="0"/>
        <w:snapToGrid w:val="0"/>
        <w:ind w:firstLine="640"/>
        <w:rPr>
          <w:rFonts w:ascii="楷体_GB2312" w:hAnsi="楷体_GB2312" w:eastAsia="楷体_GB2312" w:cs="楷体_GB2312"/>
          <w:snapToGrid w:val="0"/>
          <w:kern w:val="0"/>
          <w:szCs w:val="32"/>
        </w:rPr>
      </w:pPr>
      <w:r>
        <w:rPr>
          <w:rFonts w:hint="eastAsia" w:ascii="楷体_GB2312" w:hAnsi="楷体_GB2312" w:eastAsia="楷体_GB2312" w:cs="楷体_GB2312"/>
          <w:snapToGrid w:val="0"/>
          <w:kern w:val="0"/>
          <w:szCs w:val="32"/>
        </w:rPr>
        <w:t>聚</w:t>
      </w:r>
      <w:r>
        <w:rPr>
          <w:rFonts w:hint="eastAsia" w:ascii="楷体_GB2312" w:eastAsia="楷体_GB2312" w:cs="仿宋_GB2312"/>
          <w:snapToGrid w:val="0"/>
          <w:kern w:val="0"/>
          <w:szCs w:val="32"/>
        </w:rPr>
        <w:t>焦创新驱动，经济</w:t>
      </w:r>
      <w:r>
        <w:rPr>
          <w:rFonts w:hint="eastAsia" w:ascii="楷体_GB2312" w:hAnsi="楷体_GB2312" w:eastAsia="楷体_GB2312" w:cs="楷体_GB2312"/>
          <w:snapToGrid w:val="0"/>
          <w:kern w:val="0"/>
          <w:szCs w:val="32"/>
        </w:rPr>
        <w:t>韧性持续增强</w:t>
      </w:r>
    </w:p>
    <w:p>
      <w:pPr>
        <w:pBdr>
          <w:bottom w:val="single" w:color="FFFFFF" w:sz="4" w:space="17"/>
        </w:pBdr>
        <w:adjustRightInd w:val="0"/>
        <w:snapToGrid w:val="0"/>
        <w:ind w:firstLine="640"/>
        <w:rPr>
          <w:szCs w:val="32"/>
        </w:rPr>
      </w:pPr>
      <w:r>
        <w:rPr>
          <w:rFonts w:hint="eastAsia"/>
          <w:szCs w:val="32"/>
        </w:rPr>
        <w:t>瞄准率先建成国际一流科学城的目标，累计拨付资金30.4亿元，</w:t>
      </w:r>
      <w:r>
        <w:rPr>
          <w:rFonts w:hint="eastAsia"/>
        </w:rPr>
        <w:t>支持供给侧结构性改革、中关村先行先试改革、</w:t>
      </w:r>
      <w:r>
        <w:rPr>
          <w:rFonts w:hint="eastAsia" w:cs="仿宋_GB2312"/>
          <w:bCs/>
          <w:szCs w:val="32"/>
        </w:rPr>
        <w:t>人工智能大模型产业、</w:t>
      </w:r>
      <w:r>
        <w:rPr>
          <w:rFonts w:hint="eastAsia"/>
        </w:rPr>
        <w:t>优化营商环境、吸引高端人才，构建高精尖产业结构，</w:t>
      </w:r>
      <w:r>
        <w:rPr>
          <w:rFonts w:hint="eastAsia" w:cs="宋体"/>
          <w:bCs/>
          <w:szCs w:val="32"/>
        </w:rPr>
        <w:t>加快形成新质生产力，</w:t>
      </w:r>
      <w:r>
        <w:rPr>
          <w:rFonts w:hint="eastAsia"/>
          <w:szCs w:val="32"/>
        </w:rPr>
        <w:t>提升区域创新能级，为高质量经济发展注入新动能。</w:t>
      </w:r>
    </w:p>
    <w:p>
      <w:pPr>
        <w:pBdr>
          <w:bottom w:val="single" w:color="FFFFFF" w:sz="4" w:space="17"/>
        </w:pBdr>
        <w:adjustRightInd w:val="0"/>
        <w:snapToGrid w:val="0"/>
        <w:ind w:firstLine="643"/>
        <w:rPr>
          <w:szCs w:val="32"/>
        </w:rPr>
      </w:pPr>
      <w:r>
        <w:rPr>
          <w:rFonts w:hint="eastAsia"/>
          <w:b/>
          <w:bCs/>
          <w:kern w:val="0"/>
        </w:rPr>
        <w:t>拨付资金6.3亿元，不</w:t>
      </w:r>
      <w:r>
        <w:rPr>
          <w:rFonts w:hint="eastAsia"/>
          <w:b/>
          <w:kern w:val="0"/>
        </w:rPr>
        <w:t>断提升原始创新策源能力。</w:t>
      </w:r>
      <w:r>
        <w:rPr>
          <w:rFonts w:hint="eastAsia" w:cs="宋体"/>
          <w:bCs/>
          <w:szCs w:val="32"/>
        </w:rPr>
        <w:t>以科技创新塑造发展新动能，深化落实先行先试改革，支持关键核心技术“揭榜挂帅”，促进科技应用场景建设、“医药健康专项”等一批重大项目落地；支持在区高校产出原创突破性科研成果，成功利用飞秒激光改写黑磷“基因”，在国际上首次取得使用化学小分子调控细胞命运的重大成果；</w:t>
      </w:r>
      <w:r>
        <w:rPr>
          <w:rFonts w:hint="eastAsia" w:cs="宋体"/>
          <w:szCs w:val="32"/>
        </w:rPr>
        <w:t>服务保障国家实验室在轨运行，支持智源、微芯、量子院等新型研发机构建设和一批科技领军企业关键核心技术突破，产生新一代量子计算云平台、256核高性能区块链专用加速芯片、“悟道3.0”系列大模型等一批重大创新成果填补国内空白</w:t>
      </w:r>
      <w:r>
        <w:rPr>
          <w:rFonts w:hint="eastAsia" w:hAnsi="Calibri" w:cs="仿宋_GB2312"/>
          <w:color w:val="000000"/>
          <w:szCs w:val="32"/>
        </w:rPr>
        <w:t>；</w:t>
      </w:r>
      <w:r>
        <w:rPr>
          <w:rFonts w:hint="eastAsia"/>
          <w:szCs w:val="32"/>
        </w:rPr>
        <w:t>持续优化创新生态，</w:t>
      </w:r>
      <w:r>
        <w:rPr>
          <w:rFonts w:hint="eastAsia"/>
          <w:bCs/>
          <w:color w:val="000000"/>
        </w:rPr>
        <w:t>创业孵化服务迭代升级，形成了覆盖企业全生命周期的全链条服务</w:t>
      </w:r>
      <w:r>
        <w:rPr>
          <w:rFonts w:hint="eastAsia"/>
          <w:szCs w:val="32"/>
        </w:rPr>
        <w:t xml:space="preserve">。 </w:t>
      </w:r>
    </w:p>
    <w:p>
      <w:pPr>
        <w:pBdr>
          <w:bottom w:val="single" w:color="FFFFFF" w:sz="4" w:space="17"/>
        </w:pBdr>
        <w:adjustRightInd w:val="0"/>
        <w:snapToGrid w:val="0"/>
        <w:ind w:firstLine="643"/>
        <w:rPr>
          <w:szCs w:val="32"/>
        </w:rPr>
      </w:pPr>
      <w:r>
        <w:rPr>
          <w:rFonts w:hint="eastAsia"/>
          <w:b/>
          <w:bCs/>
          <w:kern w:val="0"/>
        </w:rPr>
        <w:t>拨付资金24.1亿元，</w:t>
      </w:r>
      <w:r>
        <w:rPr>
          <w:rFonts w:hint="eastAsia" w:hAnsi="宋体" w:cs="宋体"/>
          <w:b/>
          <w:bCs/>
          <w:szCs w:val="32"/>
        </w:rPr>
        <w:t>持续构建高精尖产业体系。</w:t>
      </w:r>
      <w:r>
        <w:rPr>
          <w:rFonts w:hint="eastAsia" w:cs="仿宋_GB2312"/>
          <w:bCs/>
          <w:szCs w:val="32"/>
        </w:rPr>
        <w:t>抢抓人工智能发展新机遇，积极构建集算力、算法、数据于一体的人工智能生态，出台人工智能大模型、通用人工智能促进政策，北京人工智能公共算力平台首批公共算力上线运行，中关村人工智能大模型产业集聚区揭牌；聚焦知识产权高质量发展，全力推进知识产权强市示范城市建设和国家知识产权运营服务体系重点城市建设，</w:t>
      </w:r>
      <w:r>
        <w:rPr>
          <w:rFonts w:hint="eastAsia"/>
          <w:szCs w:val="32"/>
        </w:rPr>
        <w:t>每万人高价值发明专利拥有量预计410件，为全市水平的3倍；加强人才引育，“薪火共燃”计划培养优秀企业家119名，“海英人才”新认定90人，全力打造高水平人才高地；加快世界领先科技园区建设，东升科技园二期、中电建科技创新产业园等项目完工，新增产业空间130万平方米；国家级专精特新“小巨人”企业新增112家，全市占比37.8%。</w:t>
      </w:r>
    </w:p>
    <w:p>
      <w:pPr>
        <w:numPr>
          <w:ilvl w:val="0"/>
          <w:numId w:val="1"/>
        </w:numPr>
        <w:pBdr>
          <w:bottom w:val="single" w:color="FFFFFF" w:sz="4" w:space="17"/>
        </w:pBdr>
        <w:adjustRightInd w:val="0"/>
        <w:snapToGrid w:val="0"/>
        <w:ind w:firstLine="640"/>
        <w:rPr>
          <w:rFonts w:ascii="楷体_GB2312" w:eastAsia="楷体_GB2312" w:cs="仿宋_GB2312"/>
          <w:bCs/>
          <w:snapToGrid w:val="0"/>
          <w:kern w:val="0"/>
          <w:szCs w:val="32"/>
        </w:rPr>
      </w:pPr>
      <w:r>
        <w:rPr>
          <w:rFonts w:hint="eastAsia" w:ascii="楷体_GB2312" w:hAnsi="楷体_GB2312" w:eastAsia="楷体_GB2312" w:cs="楷体_GB2312"/>
          <w:bCs/>
          <w:snapToGrid w:val="0"/>
          <w:kern w:val="0"/>
          <w:szCs w:val="32"/>
        </w:rPr>
        <w:t>坚</w:t>
      </w:r>
      <w:r>
        <w:rPr>
          <w:rFonts w:hint="eastAsia" w:ascii="楷体_GB2312" w:eastAsia="楷体_GB2312" w:cs="仿宋_GB2312"/>
          <w:bCs/>
          <w:snapToGrid w:val="0"/>
          <w:kern w:val="0"/>
          <w:szCs w:val="32"/>
        </w:rPr>
        <w:t>持规划先行，城市品质不断跃升</w:t>
      </w:r>
    </w:p>
    <w:p>
      <w:pPr>
        <w:pBdr>
          <w:bottom w:val="single" w:color="FFFFFF" w:sz="4" w:space="17"/>
        </w:pBdr>
        <w:adjustRightInd w:val="0"/>
        <w:snapToGrid w:val="0"/>
        <w:ind w:firstLine="640"/>
        <w:rPr>
          <w:rFonts w:cs="仿宋_GB2312"/>
          <w:snapToGrid w:val="0"/>
          <w:kern w:val="0"/>
          <w:szCs w:val="32"/>
        </w:rPr>
      </w:pPr>
      <w:r>
        <w:rPr>
          <w:rFonts w:hint="eastAsia" w:cs="仿宋_GB2312"/>
          <w:snapToGrid w:val="0"/>
          <w:kern w:val="0"/>
          <w:szCs w:val="32"/>
        </w:rPr>
        <w:t>坚持把首都“四个中心”城市战略定位作为引领城市发展的风向标和导航仪，累计拨付资金598.5亿元，在精治、共治、法治上下功夫，不断提升城市精细化治理水平。</w:t>
      </w:r>
    </w:p>
    <w:p>
      <w:pPr>
        <w:pBdr>
          <w:bottom w:val="single" w:color="FFFFFF" w:sz="4" w:space="17"/>
        </w:pBdr>
        <w:adjustRightInd w:val="0"/>
        <w:snapToGrid w:val="0"/>
        <w:ind w:firstLine="643"/>
      </w:pPr>
      <w:r>
        <w:rPr>
          <w:rFonts w:hint="eastAsia"/>
          <w:b/>
          <w:bCs/>
          <w:kern w:val="0"/>
        </w:rPr>
        <w:t>拨付资金465.4亿元，</w:t>
      </w:r>
      <w:r>
        <w:rPr>
          <w:rFonts w:hint="eastAsia" w:cs="仿宋_GB2312"/>
          <w:b/>
          <w:bCs/>
          <w:snapToGrid w:val="0"/>
          <w:kern w:val="0"/>
          <w:szCs w:val="32"/>
        </w:rPr>
        <w:t>统</w:t>
      </w:r>
      <w:r>
        <w:rPr>
          <w:rFonts w:hint="eastAsia" w:cs="仿宋_GB2312"/>
          <w:b/>
          <w:snapToGrid w:val="0"/>
          <w:kern w:val="0"/>
          <w:szCs w:val="32"/>
        </w:rPr>
        <w:t>筹推进中关村科学城建设。一是</w:t>
      </w:r>
      <w:r>
        <w:rPr>
          <w:rFonts w:hint="eastAsia" w:hAnsi="宋体" w:cs="仿宋_GB2312"/>
          <w:bCs/>
          <w:color w:val="000000"/>
          <w:szCs w:val="32"/>
        </w:rPr>
        <w:t>全力保障政府投资项目顺利推进。在环境治理、社会事业、交通基础设施等领</w:t>
      </w:r>
      <w:r>
        <w:rPr>
          <w:rFonts w:hint="eastAsia" w:hAnsi="宋体" w:cs="仿宋_GB2312"/>
          <w:color w:val="000000"/>
          <w:szCs w:val="32"/>
        </w:rPr>
        <w:t>域，安排政府投资建设项目208个，</w:t>
      </w:r>
      <w:r>
        <w:rPr>
          <w:rFonts w:hint="eastAsia" w:hAnsi="Calibri" w:cs="仿宋_GB2312"/>
          <w:color w:val="000000"/>
          <w:szCs w:val="32"/>
        </w:rPr>
        <w:t>全面推进政府投资尾款项目结项</w:t>
      </w:r>
      <w:r>
        <w:rPr>
          <w:rFonts w:hint="eastAsia" w:hAnsi="宋体"/>
          <w:szCs w:val="32"/>
        </w:rPr>
        <w:t>；巨山路建成并通车，新开工建设安宁庄路、京张遗址公园配套一号路等工程；推进翠湖、永丰社区医疗服务中心、北部医疗中心建设。</w:t>
      </w:r>
      <w:r>
        <w:rPr>
          <w:rFonts w:hint="eastAsia" w:hAnsi="宋体"/>
          <w:b/>
          <w:bCs/>
          <w:szCs w:val="32"/>
        </w:rPr>
        <w:t>二是</w:t>
      </w:r>
      <w:r>
        <w:rPr>
          <w:rFonts w:hint="eastAsia" w:hAnsi="宋体"/>
          <w:szCs w:val="32"/>
        </w:rPr>
        <w:t>积极推动重点村庄腾退工作。全年新启动13个村拆迁腾退，其中温泉、韩家川、田村等9个村庄已完成签约，预计共可腾退面积200万平方米，腾退院落6400个，安置3.5万余人。同时，进一步支持北部地区产业空间升级，</w:t>
      </w:r>
      <w:r>
        <w:rPr>
          <w:rFonts w:hint="eastAsia" w:cs="仿宋_GB2312"/>
          <w:szCs w:val="32"/>
        </w:rPr>
        <w:t>保障上庄、西小营、苏一二等村宅基地腾退收尾</w:t>
      </w:r>
      <w:r>
        <w:rPr>
          <w:rFonts w:hint="eastAsia"/>
        </w:rPr>
        <w:t>；推进南部城市更新，加快实施西郊机场周边环境整治，保障宝山村、功德寺等棚改项目有序推进。</w:t>
      </w:r>
    </w:p>
    <w:p>
      <w:pPr>
        <w:pBdr>
          <w:bottom w:val="single" w:color="FFFFFF" w:sz="4" w:space="17"/>
        </w:pBdr>
        <w:adjustRightInd w:val="0"/>
        <w:snapToGrid w:val="0"/>
        <w:ind w:firstLine="643"/>
      </w:pPr>
      <w:r>
        <w:rPr>
          <w:rFonts w:hint="eastAsia"/>
          <w:b/>
          <w:bCs/>
          <w:kern w:val="0"/>
        </w:rPr>
        <w:t>拨付资金4.0亿元，</w:t>
      </w:r>
      <w:r>
        <w:rPr>
          <w:rFonts w:hint="eastAsia" w:cs="仿宋_GB2312"/>
          <w:b/>
          <w:snapToGrid w:val="0"/>
          <w:kern w:val="0"/>
          <w:szCs w:val="32"/>
        </w:rPr>
        <w:t>科技赋能城市治理。</w:t>
      </w:r>
      <w:r>
        <w:rPr>
          <w:rFonts w:hint="eastAsia"/>
        </w:rPr>
        <w:t>进一步夯实城市大脑基础实施，提高共性支撑能力，制定全区城市生命体征感知和城市影像感知前端统筹建设运营机制，形成“以区级城市大脑指挥中心为智慧中枢、业务分平台为能力节点、街镇分中心为治理末梢”的城市智能运营融合体系，实现城市大脑对基层治理的整体赋能；</w:t>
      </w:r>
      <w:r>
        <w:rPr>
          <w:rFonts w:hint="eastAsia"/>
          <w:kern w:val="0"/>
          <w:szCs w:val="32"/>
        </w:rPr>
        <w:t>将接诉即办与“城市大脑”有机融合</w:t>
      </w:r>
      <w:r>
        <w:rPr>
          <w:rFonts w:hint="eastAsia"/>
        </w:rPr>
        <w:t>，实现科技力与亲和力双重赋能，不断提升城市治理现代化水平，</w:t>
      </w:r>
      <w:r>
        <w:rPr>
          <w:rFonts w:hint="eastAsia"/>
          <w:kern w:val="0"/>
          <w:szCs w:val="32"/>
        </w:rPr>
        <w:t>市级考核排名大幅攀升</w:t>
      </w:r>
      <w:r>
        <w:rPr>
          <w:rFonts w:hint="eastAsia"/>
        </w:rPr>
        <w:t>；持续保障全国文明城区创建工作，</w:t>
      </w:r>
      <w:bookmarkStart w:id="1" w:name="OLE_LINK1"/>
      <w:r>
        <w:rPr>
          <w:rFonts w:hint="eastAsia"/>
        </w:rPr>
        <w:t>在重点区域进行社会主义核心价值观宣传，面向全域居民开展群众性主题宣传教育实践活动，在更高水平上提升区域文明环境。</w:t>
      </w:r>
    </w:p>
    <w:p>
      <w:pPr>
        <w:pBdr>
          <w:bottom w:val="single" w:color="FFFFFF" w:sz="4" w:space="17"/>
        </w:pBdr>
        <w:adjustRightInd w:val="0"/>
        <w:snapToGrid w:val="0"/>
        <w:ind w:firstLine="643"/>
        <w:rPr>
          <w:kern w:val="0"/>
          <w:szCs w:val="32"/>
        </w:rPr>
      </w:pPr>
      <w:r>
        <w:rPr>
          <w:rFonts w:hint="eastAsia"/>
          <w:b/>
          <w:bCs/>
          <w:kern w:val="0"/>
        </w:rPr>
        <w:t>拨付资金45.1亿元，</w:t>
      </w:r>
      <w:r>
        <w:rPr>
          <w:rFonts w:hint="eastAsia"/>
          <w:b/>
          <w:szCs w:val="32"/>
        </w:rPr>
        <w:t>持续加强平安海淀建设</w:t>
      </w:r>
      <w:bookmarkEnd w:id="1"/>
      <w:r>
        <w:rPr>
          <w:rFonts w:hint="eastAsia"/>
          <w:b/>
          <w:szCs w:val="32"/>
        </w:rPr>
        <w:t>。</w:t>
      </w:r>
      <w:r>
        <w:rPr>
          <w:rFonts w:hint="eastAsia"/>
        </w:rPr>
        <w:t>构建公共安全人防、物防、技防网络，全国首家执法办案管理中心试点建设落地；巩固现代化网络市场治理模式，完成全国网络市场监管与服务示范区创建，持续推进全国商业秘密保护创新试点工作；严格市场安全监管，巩固拓展国家食品安全示范城市创建成果；加快推进消防救援基础设施网和应急响应调度网建设，完善风险监测预警、国家应急管理等体系建设；</w:t>
      </w:r>
      <w:r>
        <w:rPr>
          <w:rFonts w:hint="eastAsia"/>
          <w:kern w:val="0"/>
          <w:szCs w:val="32"/>
        </w:rPr>
        <w:t>深入贯彻落实习近平总书记对防汛救灾工作的重要指示精神，较好完成“23.7”特大暴雨应对工作及灾后重建保障工作，城市安全发展水平有效提升。</w:t>
      </w:r>
      <w:bookmarkStart w:id="2" w:name="OLE_LINK2"/>
    </w:p>
    <w:p>
      <w:pPr>
        <w:pBdr>
          <w:bottom w:val="single" w:color="FFFFFF" w:sz="4" w:space="17"/>
        </w:pBdr>
        <w:adjustRightInd w:val="0"/>
        <w:snapToGrid w:val="0"/>
        <w:ind w:firstLine="643"/>
        <w:rPr>
          <w:rFonts w:hAnsi="仿宋" w:cs="宋体"/>
        </w:rPr>
      </w:pPr>
      <w:r>
        <w:rPr>
          <w:rFonts w:hint="eastAsia"/>
          <w:b/>
          <w:bCs/>
          <w:kern w:val="0"/>
        </w:rPr>
        <w:t>拨付资金37.3亿元，</w:t>
      </w:r>
      <w:r>
        <w:rPr>
          <w:rFonts w:hint="eastAsia"/>
          <w:b/>
          <w:bCs/>
        </w:rPr>
        <w:t>大力提升城市生活品质</w:t>
      </w:r>
      <w:bookmarkEnd w:id="2"/>
      <w:r>
        <w:rPr>
          <w:rFonts w:hint="eastAsia"/>
          <w:b/>
          <w:bCs/>
        </w:rPr>
        <w:t>。</w:t>
      </w:r>
      <w:r>
        <w:rPr>
          <w:rFonts w:hint="eastAsia" w:cs="仿宋_GB2312"/>
          <w:szCs w:val="32"/>
        </w:rPr>
        <w:t>持续开展疏整促专项行动，</w:t>
      </w:r>
      <w:r>
        <w:rPr>
          <w:rFonts w:hint="eastAsia"/>
          <w:kern w:val="0"/>
          <w:szCs w:val="32"/>
        </w:rPr>
        <w:t>拆除违法建设面积87.8万平方米，腾退土地面积72.8公顷，超额完成年度任务。统筹实施交通综合治理，支持道路规划实施和路网建设，加快建设地铁12号线、13号线等，</w:t>
      </w:r>
      <w:r>
        <w:rPr>
          <w:rFonts w:hint="eastAsia"/>
          <w:color w:val="000000"/>
        </w:rPr>
        <w:t>新增轨道通车里程9.7公里，</w:t>
      </w:r>
      <w:r>
        <w:rPr>
          <w:rFonts w:hint="eastAsia"/>
        </w:rPr>
        <w:t>调整优化18条公交线路、增设公交站点30处，</w:t>
      </w:r>
      <w:r>
        <w:rPr>
          <w:rFonts w:hint="eastAsia"/>
          <w:color w:val="000000"/>
          <w:lang w:val="zh-CN"/>
        </w:rPr>
        <w:t>完</w:t>
      </w:r>
      <w:r>
        <w:rPr>
          <w:rFonts w:hint="eastAsia"/>
          <w:lang w:val="zh-CN"/>
        </w:rPr>
        <w:t>成</w:t>
      </w:r>
      <w:r>
        <w:rPr>
          <w:rFonts w:hint="eastAsia"/>
        </w:rPr>
        <w:t>80</w:t>
      </w:r>
      <w:r>
        <w:rPr>
          <w:rFonts w:hint="eastAsia"/>
          <w:lang w:val="zh-CN"/>
        </w:rPr>
        <w:t>公里</w:t>
      </w:r>
      <w:r>
        <w:rPr>
          <w:rFonts w:hint="eastAsia"/>
        </w:rPr>
        <w:t>道路慢行系统提升；</w:t>
      </w:r>
      <w:r>
        <w:rPr>
          <w:rFonts w:hint="eastAsia"/>
          <w:kern w:val="0"/>
          <w:szCs w:val="32"/>
        </w:rPr>
        <w:t>继续推进“错时共享”，</w:t>
      </w:r>
      <w:r>
        <w:rPr>
          <w:rFonts w:hint="eastAsia" w:hAnsi="仿宋" w:cs="宋体"/>
        </w:rPr>
        <w:t>挖潜停车位5051个，新增有偿错时共享停车位2579个</w:t>
      </w:r>
      <w:bookmarkStart w:id="3" w:name="OLE_LINK9"/>
      <w:r>
        <w:rPr>
          <w:rFonts w:hint="eastAsia" w:hAnsi="仿宋" w:cs="宋体"/>
        </w:rPr>
        <w:t xml:space="preserve">。抓好垃圾分类“关键小事”，积极推进非居民厨余垃圾计量收费管理，对非居民厨余垃圾分区统筹收运，垃圾综合管理得到加强。  </w:t>
      </w:r>
    </w:p>
    <w:p>
      <w:pPr>
        <w:pBdr>
          <w:bottom w:val="single" w:color="FFFFFF" w:sz="4" w:space="17"/>
        </w:pBdr>
        <w:adjustRightInd w:val="0"/>
        <w:snapToGrid w:val="0"/>
        <w:ind w:firstLine="643"/>
        <w:rPr>
          <w:rFonts w:hAnsi="方正仿宋_GBK" w:cs="方正仿宋_GBK"/>
          <w:szCs w:val="32"/>
        </w:rPr>
      </w:pPr>
      <w:r>
        <w:rPr>
          <w:rFonts w:hint="eastAsia"/>
          <w:b/>
          <w:bCs/>
          <w:kern w:val="0"/>
        </w:rPr>
        <w:t>拨付资金25.8亿元，</w:t>
      </w:r>
      <w:r>
        <w:rPr>
          <w:rFonts w:hint="eastAsia"/>
          <w:b/>
          <w:bCs/>
        </w:rPr>
        <w:t>坚决打赢蓝天碧水净土保卫战。</w:t>
      </w:r>
      <w:r>
        <w:rPr>
          <w:rFonts w:hint="eastAsia"/>
        </w:rPr>
        <w:t>巩固和改善空气质量，持续开展“一微克”行动，</w:t>
      </w:r>
      <w:r>
        <w:rPr>
          <w:rFonts w:hint="eastAsia" w:hAnsi="方正仿宋_GBK" w:cs="方正仿宋_GBK"/>
          <w:szCs w:val="32"/>
        </w:rPr>
        <w:t>加强扬尘污染精细化管控，完善空气重污染应急减排清单，细颗粒物浓度连续八年保持城六区第一；创建国家森林城市，城市绿化覆盖率51.79%，森林覆盖率35.5%，居城六区首位；</w:t>
      </w:r>
      <w:r>
        <w:rPr>
          <w:rFonts w:hint="eastAsia" w:cs="仿宋_GB2312"/>
          <w:color w:val="000000"/>
          <w:kern w:val="0"/>
          <w:szCs w:val="32"/>
        </w:rPr>
        <w:t>新增改造林地、绿地161.1公顷，建成开放公园12处</w:t>
      </w:r>
      <w:r>
        <w:rPr>
          <w:rFonts w:hint="eastAsia"/>
          <w:szCs w:val="32"/>
        </w:rPr>
        <w:t>；实施“水清岸绿”行动计划，</w:t>
      </w:r>
      <w:r>
        <w:rPr>
          <w:rFonts w:hint="eastAsia" w:cs="仿宋_GB2312"/>
          <w:color w:val="000000"/>
          <w:szCs w:val="32"/>
          <w:shd w:val="clear" w:color="auto" w:fill="FFFFFF"/>
        </w:rPr>
        <w:t>建设滨水慢行走廊46.6公里，</w:t>
      </w:r>
      <w:r>
        <w:rPr>
          <w:rFonts w:hint="eastAsia"/>
          <w:szCs w:val="32"/>
        </w:rPr>
        <w:t>实现“水、路、绿”深度融合，“清河之洲”等滨水绿廊景观向公众开放，人民群众生态环境获得感显著增强；</w:t>
      </w:r>
      <w:r>
        <w:rPr>
          <w:rFonts w:hint="eastAsia" w:hAnsi="方正仿宋_GBK" w:cs="方正仿宋_GBK"/>
          <w:szCs w:val="32"/>
        </w:rPr>
        <w:t xml:space="preserve">巩固和维护土壤环境安全，持续做好农用地、集中式饮用水源地、重点工业企业用地周边土壤环境年度监测调查。  </w:t>
      </w:r>
    </w:p>
    <w:p>
      <w:pPr>
        <w:pBdr>
          <w:bottom w:val="single" w:color="FFFFFF" w:sz="4" w:space="17"/>
        </w:pBdr>
        <w:adjustRightInd w:val="0"/>
        <w:snapToGrid w:val="0"/>
        <w:ind w:firstLine="643"/>
        <w:rPr>
          <w:bCs/>
          <w:spacing w:val="4"/>
          <w:kern w:val="0"/>
          <w:szCs w:val="32"/>
        </w:rPr>
      </w:pPr>
      <w:r>
        <w:rPr>
          <w:rFonts w:hint="eastAsia"/>
          <w:b/>
          <w:bCs/>
          <w:kern w:val="0"/>
        </w:rPr>
        <w:t>拨付资金19.3亿元，</w:t>
      </w:r>
      <w:r>
        <w:rPr>
          <w:rFonts w:hint="eastAsia" w:hAnsi="仿宋"/>
          <w:b/>
          <w:bCs/>
          <w:szCs w:val="32"/>
        </w:rPr>
        <w:t>深入落实</w:t>
      </w:r>
      <w:r>
        <w:rPr>
          <w:rFonts w:hint="eastAsia" w:hAnsi="仿宋"/>
          <w:b/>
          <w:szCs w:val="32"/>
        </w:rPr>
        <w:t>乡村振兴战略</w:t>
      </w:r>
      <w:bookmarkEnd w:id="3"/>
      <w:r>
        <w:rPr>
          <w:rFonts w:hint="eastAsia" w:hAnsi="仿宋"/>
          <w:b/>
          <w:szCs w:val="32"/>
        </w:rPr>
        <w:t>。</w:t>
      </w:r>
      <w:r>
        <w:rPr>
          <w:rFonts w:hint="eastAsia" w:hAnsi="仿宋"/>
          <w:color w:val="000000"/>
          <w:szCs w:val="32"/>
          <w:lang w:val="zh-CN"/>
        </w:rPr>
        <w:t>常态化整治农村人居环境</w:t>
      </w:r>
      <w:r>
        <w:rPr>
          <w:rFonts w:hint="eastAsia"/>
          <w:bCs/>
          <w:spacing w:val="4"/>
          <w:kern w:val="0"/>
          <w:szCs w:val="32"/>
        </w:rPr>
        <w:t>，完成</w:t>
      </w:r>
      <w:r>
        <w:rPr>
          <w:rFonts w:hint="eastAsia" w:hAnsi="仿宋"/>
          <w:color w:val="000000"/>
          <w:szCs w:val="32"/>
        </w:rPr>
        <w:t>台头村等9个村庄美丽乡村工程建设</w:t>
      </w:r>
      <w:r>
        <w:rPr>
          <w:rFonts w:hint="eastAsia"/>
          <w:bCs/>
          <w:spacing w:val="4"/>
          <w:kern w:val="0"/>
          <w:szCs w:val="32"/>
        </w:rPr>
        <w:t>；</w:t>
      </w:r>
      <w:r>
        <w:rPr>
          <w:rFonts w:hint="eastAsia"/>
          <w:spacing w:val="4"/>
          <w:kern w:val="0"/>
          <w:szCs w:val="32"/>
        </w:rPr>
        <w:t>优化</w:t>
      </w:r>
      <w:r>
        <w:rPr>
          <w:rFonts w:hint="eastAsia"/>
          <w:bCs/>
          <w:spacing w:val="4"/>
          <w:kern w:val="0"/>
          <w:szCs w:val="32"/>
        </w:rPr>
        <w:t>落实各项惠农政策，激发农业生产积极性，促进农业增产增收；加大有机肥和生物药剂的推广，有效提升农产品质量安全；聚焦现代农业生态、景观、服务和文化四个功能，</w:t>
      </w:r>
      <w:r>
        <w:rPr>
          <w:rFonts w:hint="eastAsia" w:hAnsi="仿宋"/>
          <w:color w:val="000000"/>
          <w:lang w:val="zh-CN"/>
        </w:rPr>
        <w:t>出台率先基本实现农业现代化行动方案，瞄准智慧农业、无人农场等农业科技领域，</w:t>
      </w:r>
      <w:r>
        <w:rPr>
          <w:rFonts w:hint="eastAsia"/>
          <w:spacing w:val="4"/>
          <w:kern w:val="0"/>
          <w:szCs w:val="32"/>
        </w:rPr>
        <w:t>推动新一轮高标准农田建设，</w:t>
      </w:r>
      <w:r>
        <w:rPr>
          <w:rFonts w:hint="eastAsia"/>
          <w:bCs/>
          <w:spacing w:val="4"/>
          <w:kern w:val="0"/>
          <w:szCs w:val="32"/>
        </w:rPr>
        <w:t>助力农业产业高质量发展；积极落实整建制农转非后续政策，提升2.8万农村居民社会保障水平，将农业农村工作融入中关村科学城发展大局。</w:t>
      </w:r>
    </w:p>
    <w:p>
      <w:pPr>
        <w:pBdr>
          <w:bottom w:val="single" w:color="FFFFFF" w:sz="4" w:space="17"/>
        </w:pBdr>
        <w:adjustRightInd w:val="0"/>
        <w:snapToGrid w:val="0"/>
        <w:ind w:firstLine="643"/>
        <w:rPr>
          <w:rFonts w:hAnsi="仿宋" w:cs="仿宋_GB2312"/>
          <w:szCs w:val="32"/>
        </w:rPr>
      </w:pPr>
      <w:r>
        <w:rPr>
          <w:rFonts w:hint="eastAsia" w:hAnsi="仿宋"/>
          <w:b/>
          <w:szCs w:val="32"/>
        </w:rPr>
        <w:t>拨付资金1.6亿元，加大对口支援力度。</w:t>
      </w:r>
      <w:r>
        <w:rPr>
          <w:rFonts w:hint="eastAsia" w:cs="仿宋_GB2312"/>
          <w:szCs w:val="32"/>
        </w:rPr>
        <w:t>为贯彻落实中央经济工作会、农村工作会等精神，</w:t>
      </w:r>
      <w:r>
        <w:rPr>
          <w:rFonts w:hint="eastAsia" w:cs="仿宋_GB2312"/>
          <w:snapToGrid w:val="0"/>
          <w:kern w:val="0"/>
          <w:szCs w:val="32"/>
        </w:rPr>
        <w:t>结合内蒙古科右前旗、科右中旗、敖汉旗等结对地区新阶段发展需要，助力结对地区在产业、人才、文化、生态、组织五大振兴工作中取得新突破、新进展、新成就。同时，根据市委、市政府关于新时代高质量推动生态涵养区生态保护和绿色发展的工作部署，积极开展海淀延庆结对工作，</w:t>
      </w:r>
      <w:r>
        <w:rPr>
          <w:rFonts w:hint="eastAsia" w:cs="仿宋_GB2312"/>
          <w:szCs w:val="32"/>
        </w:rPr>
        <w:t>聚焦产业发展，围绕园区共建、生态建设、公共服务等领域重点任务，</w:t>
      </w:r>
      <w:r>
        <w:rPr>
          <w:rFonts w:hint="eastAsia" w:cs="仿宋_GB2312"/>
          <w:snapToGrid w:val="0"/>
          <w:kern w:val="0"/>
          <w:szCs w:val="32"/>
        </w:rPr>
        <w:t>进一步推动生态涵养区落实功能定位、保持战略定力、激发发展活力。此外，</w:t>
      </w:r>
      <w:r>
        <w:rPr>
          <w:rFonts w:hint="eastAsia" w:hAnsi="仿宋" w:cs="仿宋_GB2312"/>
          <w:szCs w:val="32"/>
        </w:rPr>
        <w:t>按照</w:t>
      </w:r>
      <w:r>
        <w:rPr>
          <w:rFonts w:hint="eastAsia" w:cs="仿宋_GB2312"/>
          <w:snapToGrid w:val="0"/>
          <w:kern w:val="0"/>
          <w:szCs w:val="32"/>
        </w:rPr>
        <w:t>市区</w:t>
      </w:r>
      <w:r>
        <w:rPr>
          <w:rFonts w:hint="eastAsia" w:hAnsi="仿宋" w:cs="仿宋_GB2312"/>
          <w:szCs w:val="32"/>
        </w:rPr>
        <w:t>关于组织平原区结对帮扶灾损严重地区有关工作要求，积极开展门头沟区防汛救灾慰问工作，助力王平、妙峰山两镇有序开展恢复重建工作。</w:t>
      </w:r>
    </w:p>
    <w:p>
      <w:pPr>
        <w:numPr>
          <w:ilvl w:val="0"/>
          <w:numId w:val="1"/>
        </w:numPr>
        <w:pBdr>
          <w:bottom w:val="single" w:color="FFFFFF" w:sz="4" w:space="17"/>
        </w:pBdr>
        <w:adjustRightInd w:val="0"/>
        <w:snapToGrid w:val="0"/>
        <w:ind w:firstLine="640"/>
        <w:rPr>
          <w:rFonts w:ascii="楷体_GB2312" w:hAnsi="楷体_GB2312" w:eastAsia="楷体_GB2312" w:cs="楷体_GB2312"/>
          <w:bCs/>
          <w:snapToGrid w:val="0"/>
          <w:kern w:val="0"/>
          <w:szCs w:val="32"/>
        </w:rPr>
      </w:pPr>
      <w:r>
        <w:rPr>
          <w:rFonts w:hint="eastAsia" w:ascii="楷体_GB2312" w:hAnsi="楷体_GB2312" w:eastAsia="楷体_GB2312" w:cs="楷体_GB2312"/>
          <w:bCs/>
          <w:snapToGrid w:val="0"/>
          <w:kern w:val="0"/>
          <w:szCs w:val="32"/>
        </w:rPr>
        <w:t>紧扣七有五性，民生保障持续加力</w:t>
      </w:r>
    </w:p>
    <w:p>
      <w:pPr>
        <w:pBdr>
          <w:bottom w:val="single" w:color="FFFFFF" w:sz="4" w:space="17"/>
        </w:pBdr>
        <w:adjustRightInd w:val="0"/>
        <w:snapToGrid w:val="0"/>
        <w:ind w:firstLine="640"/>
        <w:rPr>
          <w:rFonts w:cs="仿宋_GB2312"/>
          <w:szCs w:val="32"/>
        </w:rPr>
      </w:pPr>
      <w:r>
        <w:rPr>
          <w:rFonts w:hint="eastAsia" w:cs="仿宋_GB2312"/>
          <w:szCs w:val="32"/>
        </w:rPr>
        <w:t>坚持人民至上，从“解民忧、化民怨、暖民心、惠民生”抓起，累计拨付资金393.3亿元，加强普惠性、基础性、兜底性民生建设，办好民生实事，努力让人民过上更好生活。</w:t>
      </w:r>
      <w:bookmarkStart w:id="4" w:name="OLE_LINK6"/>
    </w:p>
    <w:p>
      <w:pPr>
        <w:pBdr>
          <w:bottom w:val="single" w:color="FFFFFF" w:sz="4" w:space="17"/>
        </w:pBdr>
        <w:adjustRightInd w:val="0"/>
        <w:snapToGrid w:val="0"/>
        <w:ind w:firstLine="643"/>
      </w:pPr>
      <w:r>
        <w:rPr>
          <w:rFonts w:hint="eastAsia"/>
          <w:b/>
          <w:bCs/>
          <w:kern w:val="0"/>
        </w:rPr>
        <w:t>拨付资金155.1亿元，</w:t>
      </w:r>
      <w:r>
        <w:rPr>
          <w:rFonts w:hint="eastAsia"/>
          <w:b/>
          <w:bCs/>
        </w:rPr>
        <w:t>促进优质教育均衡发展</w:t>
      </w:r>
      <w:bookmarkEnd w:id="4"/>
      <w:r>
        <w:rPr>
          <w:rFonts w:hint="eastAsia"/>
          <w:b/>
          <w:bCs/>
        </w:rPr>
        <w:t>。</w:t>
      </w:r>
      <w:r>
        <w:rPr>
          <w:rFonts w:hint="eastAsia"/>
        </w:rPr>
        <w:t>出台《海淀区促进学前教育发展提升资金支持办法》及实施细则，推进学前教育更加普及普惠、安全优质发展；全力应对入学人数达到历史峰值的严峻形势，通过支持内部挖潜和新改扩建项目、加大回租回购和购买学位力度，教育集团增至42个，增加中小学学位5560个、学前学位3150个，推动义务教育优质均衡发展；坚持“五育”并举，巩固“双减”成效，支持“普通高中新课程新教材实施国家级示范区”建设，多举措营造良好教育生态；加强新改扩建校配套建设，改善校园安全状况和办学条件，优化智慧教育顶层设计，持续提升我区优质教育资源供给水平。</w:t>
      </w:r>
      <w:bookmarkStart w:id="5" w:name="OLE_LINK7"/>
    </w:p>
    <w:p>
      <w:pPr>
        <w:pBdr>
          <w:bottom w:val="single" w:color="FFFFFF" w:sz="4" w:space="17"/>
        </w:pBdr>
        <w:adjustRightInd w:val="0"/>
        <w:snapToGrid w:val="0"/>
        <w:ind w:firstLine="643"/>
        <w:rPr>
          <w:szCs w:val="32"/>
        </w:rPr>
      </w:pPr>
      <w:r>
        <w:rPr>
          <w:rFonts w:hint="eastAsia"/>
          <w:b/>
          <w:bCs/>
          <w:kern w:val="0"/>
        </w:rPr>
        <w:t>拨付资金139.4亿元，</w:t>
      </w:r>
      <w:r>
        <w:rPr>
          <w:rFonts w:hint="eastAsia"/>
          <w:b/>
          <w:bCs/>
        </w:rPr>
        <w:t>持续健全社保就业体系。</w:t>
      </w:r>
      <w:r>
        <w:rPr>
          <w:rFonts w:hint="eastAsia" w:cs="仿宋_GB2312"/>
          <w:szCs w:val="32"/>
        </w:rPr>
        <w:t>持续完善养老服务设施网络，运营</w:t>
      </w:r>
      <w:r>
        <w:rPr>
          <w:rFonts w:hint="eastAsia" w:cs="仿宋_GB2312"/>
          <w:color w:val="000000"/>
          <w:szCs w:val="32"/>
        </w:rPr>
        <w:t>新建住宅小区</w:t>
      </w:r>
      <w:r>
        <w:rPr>
          <w:rFonts w:hint="eastAsia" w:cs="仿宋_GB2312"/>
          <w:szCs w:val="32"/>
        </w:rPr>
        <w:t>配建养老设施9处，</w:t>
      </w:r>
      <w:r>
        <w:rPr>
          <w:rFonts w:hint="eastAsia" w:cs="仿宋_GB2312"/>
          <w:szCs w:val="32"/>
          <w:lang w:eastAsia="zh-Hans"/>
        </w:rPr>
        <w:t>新建社区养老服务驿站</w:t>
      </w:r>
      <w:r>
        <w:rPr>
          <w:rFonts w:hint="eastAsia" w:hAnsi="Calibri"/>
          <w:szCs w:val="32"/>
        </w:rPr>
        <w:t>2</w:t>
      </w:r>
      <w:r>
        <w:rPr>
          <w:rFonts w:hint="eastAsia"/>
          <w:szCs w:val="32"/>
        </w:rPr>
        <w:t>0</w:t>
      </w:r>
      <w:r>
        <w:rPr>
          <w:rFonts w:hint="eastAsia" w:hAnsi="Calibri"/>
          <w:szCs w:val="32"/>
        </w:rPr>
        <w:t>家</w:t>
      </w:r>
      <w:r>
        <w:rPr>
          <w:rFonts w:hint="eastAsia" w:cs="仿宋_GB2312"/>
          <w:szCs w:val="32"/>
        </w:rPr>
        <w:t>，</w:t>
      </w:r>
      <w:r>
        <w:rPr>
          <w:rFonts w:hint="eastAsia"/>
          <w:bCs/>
          <w:color w:val="000000"/>
          <w:szCs w:val="32"/>
        </w:rPr>
        <w:t>新增备案养老助餐点74家，</w:t>
      </w:r>
      <w:r>
        <w:rPr>
          <w:rFonts w:hint="eastAsia" w:cs="仿宋_GB2312"/>
          <w:szCs w:val="32"/>
        </w:rPr>
        <w:t>养老家庭照护服务床位已达33485张</w:t>
      </w:r>
      <w:r>
        <w:rPr>
          <w:rFonts w:hint="eastAsia"/>
          <w:szCs w:val="32"/>
        </w:rPr>
        <w:t>；</w:t>
      </w:r>
      <w:r>
        <w:rPr>
          <w:rFonts w:hint="eastAsia" w:cs="仿宋_GB2312"/>
          <w:snapToGrid w:val="0"/>
          <w:kern w:val="0"/>
          <w:szCs w:val="32"/>
        </w:rPr>
        <w:t>加快推进儿童福利院建设，做好孤残儿童康复救助工作</w:t>
      </w:r>
      <w:r>
        <w:rPr>
          <w:rFonts w:hint="eastAsia"/>
        </w:rPr>
        <w:t>；</w:t>
      </w:r>
      <w:r>
        <w:rPr>
          <w:rFonts w:hint="eastAsia" w:cs="仿宋_GB2312"/>
          <w:snapToGrid w:val="0"/>
          <w:kern w:val="0"/>
          <w:szCs w:val="32"/>
        </w:rPr>
        <w:t>落实退役军人政策，保障军队移交地方政府人员、退役军人、优抚对象等基本待遇</w:t>
      </w:r>
      <w:r>
        <w:rPr>
          <w:rFonts w:hint="eastAsia"/>
        </w:rPr>
        <w:t>；</w:t>
      </w:r>
      <w:r>
        <w:rPr>
          <w:rFonts w:hint="eastAsia" w:cs="仿宋_GB2312"/>
          <w:snapToGrid w:val="0"/>
          <w:kern w:val="0"/>
          <w:szCs w:val="32"/>
        </w:rPr>
        <w:t>完善更高质量、更加充分的公共就业服务，全年城镇登记失业率为2.5%，</w:t>
      </w:r>
      <w:r>
        <w:rPr>
          <w:rFonts w:hint="eastAsia"/>
          <w:szCs w:val="32"/>
        </w:rPr>
        <w:t>连续10年成功创建北京市充分就业区。</w:t>
      </w:r>
    </w:p>
    <w:p>
      <w:pPr>
        <w:pBdr>
          <w:bottom w:val="single" w:color="FFFFFF" w:sz="4" w:space="17"/>
        </w:pBdr>
        <w:overflowPunct w:val="0"/>
        <w:adjustRightInd w:val="0"/>
        <w:snapToGrid w:val="0"/>
        <w:ind w:firstLine="643"/>
      </w:pPr>
      <w:r>
        <w:rPr>
          <w:rFonts w:hint="eastAsia"/>
          <w:b/>
          <w:bCs/>
          <w:kern w:val="0"/>
        </w:rPr>
        <w:t>拨付资金65.8亿元，</w:t>
      </w:r>
      <w:r>
        <w:rPr>
          <w:rFonts w:hint="eastAsia"/>
          <w:b/>
          <w:bCs/>
        </w:rPr>
        <w:t>大力实施健康海淀行动。</w:t>
      </w:r>
      <w:r>
        <w:rPr>
          <w:rFonts w:hint="eastAsia"/>
        </w:rPr>
        <w:t>巩固拓展国家卫生区和全国健康促进区创建成果，为人民提供全方位健康服务；家庭医生签约服务质量持续提升，共组建家庭医生团队831支；加强公立医院改革与高质量发展建设，进一步提升基本医疗和公共卫生服务能力，完善全方位、全生命周期健康服务体系；持续加强院前急救站点建设，建立现代化公共卫生应急管理体系；加大高水平、复合型卫生健康人才的培养力度，全面实施区属卫生健康系统高层次人才发展计划；落实城乡居民基本医疗保险财政补助政策，持续织牢织密医疗保障防护网。</w:t>
      </w:r>
      <w:bookmarkStart w:id="6" w:name="OLE_LINK5"/>
    </w:p>
    <w:p>
      <w:pPr>
        <w:pBdr>
          <w:bottom w:val="single" w:color="FFFFFF" w:sz="4" w:space="17"/>
        </w:pBdr>
        <w:overflowPunct w:val="0"/>
        <w:adjustRightInd w:val="0"/>
        <w:snapToGrid w:val="0"/>
        <w:ind w:firstLine="643"/>
        <w:rPr>
          <w:rFonts w:cs="仿宋_GB2312"/>
          <w:snapToGrid w:val="0"/>
          <w:kern w:val="0"/>
          <w:szCs w:val="32"/>
        </w:rPr>
      </w:pPr>
      <w:r>
        <w:rPr>
          <w:rFonts w:hint="eastAsia"/>
          <w:b/>
          <w:bCs/>
          <w:kern w:val="0"/>
        </w:rPr>
        <w:t>拨付资金22.8亿元，</w:t>
      </w:r>
      <w:r>
        <w:rPr>
          <w:rFonts w:hint="eastAsia" w:cs="仿宋_GB2312"/>
          <w:b/>
          <w:szCs w:val="32"/>
        </w:rPr>
        <w:t>持续改善群众居住条件</w:t>
      </w:r>
      <w:bookmarkEnd w:id="6"/>
      <w:r>
        <w:rPr>
          <w:rFonts w:hint="eastAsia" w:cs="仿宋_GB2312"/>
          <w:b/>
          <w:szCs w:val="32"/>
        </w:rPr>
        <w:t>。</w:t>
      </w:r>
      <w:r>
        <w:rPr>
          <w:rFonts w:hint="eastAsia" w:cs="仿宋_GB2312"/>
          <w:snapToGrid w:val="0"/>
          <w:kern w:val="0"/>
          <w:szCs w:val="32"/>
        </w:rPr>
        <w:t>拓展保障性住房建设渠道，趸租社会房源作为公租房使用，支持利用集体土地建设保障性租赁住房，配租公租房3400余套；落实公租房租金补贴以及市场租房补贴政策，为8600户符合条件家庭发放补贴，持续解决中低收入家庭的住房需求；继续推进老旧小区综合整治，新开工78个小区，完工53个小区；支持海淀区既有多层住宅加装电梯，改善群众住房条件；加强物业项目监督考核评价力度，提高党组织领导下的物业管理和社区治理水平，努力营造和谐稳定的居住环境。</w:t>
      </w:r>
    </w:p>
    <w:p>
      <w:pPr>
        <w:pBdr>
          <w:bottom w:val="single" w:color="FFFFFF" w:sz="4" w:space="17"/>
        </w:pBdr>
        <w:overflowPunct w:val="0"/>
        <w:adjustRightInd w:val="0"/>
        <w:snapToGrid w:val="0"/>
        <w:ind w:firstLine="643"/>
      </w:pPr>
      <w:r>
        <w:rPr>
          <w:rFonts w:hint="eastAsia"/>
          <w:b/>
          <w:bCs/>
          <w:kern w:val="0"/>
        </w:rPr>
        <w:t>拨付资金10.2亿元</w:t>
      </w:r>
      <w:r>
        <w:rPr>
          <w:rFonts w:hint="eastAsia"/>
          <w:kern w:val="0"/>
        </w:rPr>
        <w:t>，</w:t>
      </w:r>
      <w:bookmarkEnd w:id="5"/>
      <w:r>
        <w:rPr>
          <w:rFonts w:hint="eastAsia"/>
          <w:b/>
          <w:bCs/>
        </w:rPr>
        <w:t>扎实推进海淀文化强区建设。</w:t>
      </w:r>
      <w:r>
        <w:rPr>
          <w:rFonts w:hint="eastAsia"/>
        </w:rPr>
        <w:t>成功通过“三山五园”国家文物保护利用示范区评审验收，成为全国首批六个城市之一；完成清华园车站修缮与对外开放，讲好“进京赶考之路”的红色故事，成为红色文化新地标；支持海淀原创文化作品，打造海淀文化活动品牌，举办2023中关村音乐季、舞剧节系列活动，开展中关村国际青年艺术季等公共文化活动千余场，更好满足群众高品质文化需求；持续扩大科普活动供给，举办科普创新大讲堂300场，基层科普服务行动66场；完善全民健身服务体系，新增室外健身活动场地17处、全民健身器材388件，更新全民健身器材1856件；开展丰富多彩的群众体育活动；大力弘扬文明之风，广泛开展志愿服务，区域文明氛围日益浓厚。</w:t>
      </w:r>
    </w:p>
    <w:p>
      <w:pPr>
        <w:numPr>
          <w:ilvl w:val="0"/>
          <w:numId w:val="2"/>
        </w:numPr>
        <w:pBdr>
          <w:bottom w:val="single" w:color="FFFFFF" w:sz="4" w:space="17"/>
        </w:pBdr>
        <w:overflowPunct w:val="0"/>
        <w:adjustRightInd w:val="0"/>
        <w:snapToGrid w:val="0"/>
        <w:ind w:firstLine="640"/>
        <w:rPr>
          <w:rFonts w:ascii="黑体" w:eastAsia="黑体"/>
          <w:szCs w:val="32"/>
        </w:rPr>
      </w:pPr>
      <w:r>
        <w:rPr>
          <w:rFonts w:hint="eastAsia" w:ascii="黑体" w:hAnsi="黑体" w:eastAsia="黑体" w:cs="黑体"/>
          <w:szCs w:val="32"/>
        </w:rPr>
        <w:t>财</w:t>
      </w:r>
      <w:r>
        <w:rPr>
          <w:rFonts w:hint="eastAsia" w:ascii="黑体" w:eastAsia="黑体"/>
          <w:szCs w:val="32"/>
        </w:rPr>
        <w:t>政重点工作推进及深化改革情况</w:t>
      </w:r>
    </w:p>
    <w:p>
      <w:pPr>
        <w:pBdr>
          <w:bottom w:val="single" w:color="FFFFFF" w:sz="4" w:space="17"/>
        </w:pBdr>
        <w:overflowPunct w:val="0"/>
        <w:adjustRightInd w:val="0"/>
        <w:snapToGrid w:val="0"/>
        <w:ind w:firstLine="640"/>
        <w:rPr>
          <w:b/>
          <w:bCs/>
        </w:rPr>
      </w:pPr>
      <w:r>
        <w:rPr>
          <w:rFonts w:hint="eastAsia" w:hAnsi="宋体"/>
        </w:rPr>
        <w:t>在全区各部门的齐心努力下，财政部门围绕保障能力、成本节约、运行成效、财源建设和规范管理等方面，</w:t>
      </w:r>
      <w:r>
        <w:rPr>
          <w:rFonts w:hint="eastAsia" w:cs="仿宋_GB2312"/>
          <w:kern w:val="0"/>
          <w:szCs w:val="32"/>
        </w:rPr>
        <w:t>加力提效实施积极的财政政策</w:t>
      </w:r>
      <w:r>
        <w:rPr>
          <w:rFonts w:hint="eastAsia" w:hAnsi="宋体"/>
        </w:rPr>
        <w:t>，我区在财政运行综合绩效评价中位列全市第一。</w:t>
      </w:r>
    </w:p>
    <w:p>
      <w:pPr>
        <w:pBdr>
          <w:bottom w:val="single" w:color="FFFFFF" w:sz="4" w:space="17"/>
        </w:pBdr>
        <w:overflowPunct w:val="0"/>
        <w:adjustRightInd w:val="0"/>
        <w:snapToGrid w:val="0"/>
        <w:ind w:firstLine="643"/>
        <w:rPr>
          <w:rFonts w:hAnsi="仿宋" w:cs="仿宋_GB2312"/>
          <w:szCs w:val="32"/>
        </w:rPr>
      </w:pPr>
      <w:r>
        <w:rPr>
          <w:rFonts w:hint="eastAsia"/>
          <w:b/>
          <w:bCs/>
        </w:rPr>
        <w:t>不断提升预算管理水平。一</w:t>
      </w:r>
      <w:r>
        <w:rPr>
          <w:rFonts w:hint="eastAsia" w:hAnsi="仿宋" w:cs="仿宋_GB2312"/>
          <w:b/>
          <w:bCs/>
          <w:szCs w:val="32"/>
        </w:rPr>
        <w:t>是</w:t>
      </w:r>
      <w:r>
        <w:rPr>
          <w:rFonts w:hint="eastAsia" w:hAnsi="仿宋" w:cs="仿宋_GB2312"/>
          <w:szCs w:val="32"/>
        </w:rPr>
        <w:t>加强预算项目管理。</w:t>
      </w:r>
      <w:r>
        <w:rPr>
          <w:rFonts w:hint="eastAsia" w:hAnsi="仿宋" w:cs="仿宋_GB2312"/>
          <w:bCs/>
          <w:szCs w:val="32"/>
        </w:rPr>
        <w:t>通过完善项目常态化储备、落实预算项目责任制、优化预算项目分级管理等手段，提升预算精细化管理水平。</w:t>
      </w:r>
      <w:r>
        <w:rPr>
          <w:rFonts w:hint="eastAsia" w:hAnsi="仿宋" w:cs="仿宋_GB2312"/>
          <w:b/>
          <w:szCs w:val="32"/>
        </w:rPr>
        <w:t>二是</w:t>
      </w:r>
      <w:r>
        <w:rPr>
          <w:rFonts w:hint="eastAsia"/>
          <w:szCs w:val="32"/>
        </w:rPr>
        <w:t>探索财政评审海淀模式。</w:t>
      </w:r>
      <w:r>
        <w:rPr>
          <w:rFonts w:hint="eastAsia" w:hAnsi="仿宋" w:cs="仿宋_GB2312"/>
          <w:szCs w:val="32"/>
        </w:rPr>
        <w:t>修订印发《海淀区财政评审管理办法》，将结算评审纳入管理范围，</w:t>
      </w:r>
      <w:r>
        <w:rPr>
          <w:rFonts w:hint="eastAsia" w:cs="仿宋_GB2312"/>
          <w:szCs w:val="32"/>
        </w:rPr>
        <w:t>全年完成评审项目697个，其中预算评审项目685个，结算评审项目12个，</w:t>
      </w:r>
      <w:r>
        <w:rPr>
          <w:rFonts w:hint="eastAsia" w:hAnsi="仿宋" w:cs="仿宋_GB2312"/>
          <w:szCs w:val="32"/>
        </w:rPr>
        <w:t>充分发挥预算控制职能。</w:t>
      </w:r>
      <w:r>
        <w:rPr>
          <w:rFonts w:hint="eastAsia" w:hAnsi="仿宋" w:cs="仿宋_GB2312"/>
          <w:b/>
          <w:bCs/>
          <w:szCs w:val="32"/>
        </w:rPr>
        <w:t>三是</w:t>
      </w:r>
      <w:r>
        <w:rPr>
          <w:rFonts w:hint="eastAsia" w:hAnsi="仿宋" w:cs="仿宋_GB2312"/>
          <w:szCs w:val="32"/>
        </w:rPr>
        <w:t>强化</w:t>
      </w:r>
      <w:r>
        <w:rPr>
          <w:rFonts w:hint="eastAsia"/>
        </w:rPr>
        <w:t>财政代管资金管理。</w:t>
      </w:r>
      <w:r>
        <w:rPr>
          <w:rFonts w:hint="eastAsia" w:hAnsi="仿宋" w:cs="仿宋_GB2312"/>
          <w:szCs w:val="32"/>
        </w:rPr>
        <w:t>在全区开展财政代管资金梳理工作，督促各单位制定代管资金消化三年方案，加强对财政代管资金的盘活力度。</w:t>
      </w:r>
    </w:p>
    <w:p>
      <w:pPr>
        <w:pBdr>
          <w:bottom w:val="single" w:color="FFFFFF" w:sz="4" w:space="17"/>
        </w:pBdr>
        <w:overflowPunct w:val="0"/>
        <w:adjustRightInd w:val="0"/>
        <w:snapToGrid w:val="0"/>
        <w:ind w:firstLine="643"/>
        <w:rPr>
          <w:rFonts w:cs="仿宋_GB2312"/>
          <w:szCs w:val="32"/>
        </w:rPr>
      </w:pPr>
      <w:r>
        <w:rPr>
          <w:rFonts w:hint="eastAsia"/>
          <w:b/>
          <w:bCs/>
        </w:rPr>
        <w:t>加大财政资源统筹力度。</w:t>
      </w:r>
      <w:r>
        <w:rPr>
          <w:rFonts w:hint="eastAsia" w:cs="仿宋_GB2312"/>
          <w:b/>
          <w:bCs/>
        </w:rPr>
        <w:t>一是</w:t>
      </w:r>
      <w:r>
        <w:rPr>
          <w:rFonts w:hint="eastAsia" w:cs="仿宋_GB2312"/>
        </w:rPr>
        <w:t>落实政府过紧日子长效机制，全年压减一般性支出12.0亿元</w:t>
      </w:r>
      <w:r>
        <w:rPr>
          <w:rFonts w:hint="eastAsia" w:cs="仿宋_GB2312"/>
          <w:szCs w:val="32"/>
        </w:rPr>
        <w:t>，及时</w:t>
      </w:r>
      <w:r>
        <w:rPr>
          <w:rFonts w:hint="eastAsia" w:cs="仿宋_GB2312"/>
        </w:rPr>
        <w:t>收回单位结余资金，</w:t>
      </w:r>
      <w:r>
        <w:rPr>
          <w:rFonts w:hint="eastAsia" w:cs="仿宋_GB2312"/>
          <w:szCs w:val="32"/>
        </w:rPr>
        <w:t>统筹用于全区重点项目</w:t>
      </w:r>
      <w:r>
        <w:rPr>
          <w:rFonts w:hint="eastAsia" w:cs="仿宋_GB2312"/>
        </w:rPr>
        <w:t>。</w:t>
      </w:r>
      <w:r>
        <w:rPr>
          <w:rFonts w:hint="eastAsia" w:cs="仿宋_GB2312"/>
          <w:b/>
          <w:bCs/>
        </w:rPr>
        <w:t>二是</w:t>
      </w:r>
      <w:r>
        <w:rPr>
          <w:rFonts w:hint="eastAsia" w:cs="仿宋_GB2312"/>
          <w:spacing w:val="10"/>
        </w:rPr>
        <w:t>编外用工优化整合工作取得阶段性实效</w:t>
      </w:r>
      <w:r>
        <w:rPr>
          <w:rFonts w:hint="eastAsia" w:cs="仿宋_GB2312"/>
          <w:szCs w:val="32"/>
        </w:rPr>
        <w:t>。针对首轮优化单位，预计</w:t>
      </w:r>
      <w:r>
        <w:rPr>
          <w:rFonts w:hint="eastAsia" w:cs="仿宋_GB2312"/>
          <w:spacing w:val="10"/>
        </w:rPr>
        <w:t>编外人员数量减少2602人，核减比例22.5%；劳务外包人员经费核减1.4亿元，核减比例15.0%，</w:t>
      </w:r>
      <w:r>
        <w:rPr>
          <w:rFonts w:hint="eastAsia" w:cs="仿宋_GB2312"/>
          <w:szCs w:val="32"/>
        </w:rPr>
        <w:t>有效降低财政支出成本。</w:t>
      </w:r>
      <w:r>
        <w:rPr>
          <w:rFonts w:hint="eastAsia" w:cs="仿宋_GB2312"/>
          <w:b/>
          <w:bCs/>
          <w:szCs w:val="32"/>
        </w:rPr>
        <w:t>三是</w:t>
      </w:r>
      <w:r>
        <w:rPr>
          <w:rFonts w:hint="eastAsia" w:cs="仿宋_GB2312"/>
          <w:kern w:val="0"/>
          <w:szCs w:val="32"/>
        </w:rPr>
        <w:t>严格新增资产配置管理，严控楼堂馆所建设，加大资产统筹力度，积极盘活存量资产，推进资产共享共用，防止资产闲置浪费。</w:t>
      </w:r>
      <w:r>
        <w:rPr>
          <w:rFonts w:hint="eastAsia" w:cs="仿宋_GB2312"/>
          <w:b/>
          <w:bCs/>
          <w:kern w:val="0"/>
          <w:szCs w:val="32"/>
        </w:rPr>
        <w:t>四是</w:t>
      </w:r>
      <w:r>
        <w:rPr>
          <w:rFonts w:hint="eastAsia" w:cs="仿宋_GB2312"/>
          <w:kern w:val="0"/>
          <w:szCs w:val="32"/>
        </w:rPr>
        <w:t>加大</w:t>
      </w:r>
      <w:r>
        <w:rPr>
          <w:rFonts w:hint="eastAsia" w:cs="仿宋_GB2312"/>
          <w:szCs w:val="32"/>
        </w:rPr>
        <w:t>财政结余资金统筹力度，</w:t>
      </w:r>
      <w:r>
        <w:rPr>
          <w:rFonts w:hint="eastAsia"/>
          <w:bCs/>
          <w:szCs w:val="32"/>
        </w:rPr>
        <w:t>落实各类资金使用期限的</w:t>
      </w:r>
      <w:r>
        <w:rPr>
          <w:rFonts w:hint="eastAsia" w:cs="仿宋_GB2312"/>
          <w:szCs w:val="32"/>
        </w:rPr>
        <w:t>相关要求</w:t>
      </w:r>
      <w:r>
        <w:rPr>
          <w:rFonts w:hint="eastAsia"/>
          <w:bCs/>
          <w:szCs w:val="32"/>
        </w:rPr>
        <w:t>，</w:t>
      </w:r>
      <w:r>
        <w:rPr>
          <w:rFonts w:hint="eastAsia" w:cs="仿宋_GB2312"/>
          <w:szCs w:val="32"/>
        </w:rPr>
        <w:t>实现财政资金全面监管与绩效提升。</w:t>
      </w:r>
    </w:p>
    <w:p>
      <w:pPr>
        <w:pBdr>
          <w:bottom w:val="single" w:color="FFFFFF" w:sz="4" w:space="17"/>
        </w:pBdr>
        <w:overflowPunct w:val="0"/>
        <w:adjustRightInd w:val="0"/>
        <w:snapToGrid w:val="0"/>
        <w:ind w:firstLine="643"/>
        <w:rPr>
          <w:rFonts w:cs="仿宋_GB2312"/>
          <w:szCs w:val="32"/>
        </w:rPr>
      </w:pPr>
      <w:r>
        <w:rPr>
          <w:rFonts w:hint="eastAsia" w:hAnsi="Calibri" w:cs="仿宋_GB2312"/>
          <w:b/>
          <w:szCs w:val="32"/>
        </w:rPr>
        <w:t>推动预算与绩效管理一体化</w:t>
      </w:r>
      <w:r>
        <w:rPr>
          <w:rFonts w:hint="eastAsia"/>
          <w:b/>
          <w:bCs/>
        </w:rPr>
        <w:t>。</w:t>
      </w:r>
      <w:r>
        <w:rPr>
          <w:rFonts w:hint="eastAsia" w:cs="仿宋_GB2312"/>
          <w:b/>
          <w:szCs w:val="32"/>
        </w:rPr>
        <w:t>一是</w:t>
      </w:r>
      <w:r>
        <w:rPr>
          <w:rFonts w:hint="eastAsia" w:cs="仿宋_GB2312"/>
          <w:szCs w:val="32"/>
        </w:rPr>
        <w:t>全面开展预算绩效评价工作，完成30余个项目和部门整体评价，涵盖人大重点项目、专项债项目、政府购买服务项目、直达资金项目等。</w:t>
      </w:r>
      <w:r>
        <w:rPr>
          <w:rFonts w:hint="eastAsia" w:cs="仿宋_GB2312"/>
          <w:b/>
          <w:szCs w:val="32"/>
        </w:rPr>
        <w:t>二是</w:t>
      </w:r>
      <w:r>
        <w:rPr>
          <w:rFonts w:hint="eastAsia" w:cs="仿宋_GB2312"/>
          <w:szCs w:val="32"/>
        </w:rPr>
        <w:t>积极探索跨部门、分领域的支出政策绩效评价，选取街镇财源建设工作奖励等开展政策评价，对政策执行可持续性进行研究。</w:t>
      </w:r>
      <w:r>
        <w:rPr>
          <w:rFonts w:hint="eastAsia" w:cs="仿宋_GB2312"/>
          <w:b/>
          <w:szCs w:val="32"/>
        </w:rPr>
        <w:t>三是</w:t>
      </w:r>
      <w:r>
        <w:rPr>
          <w:rFonts w:hint="eastAsia" w:cs="仿宋_GB2312"/>
          <w:szCs w:val="32"/>
        </w:rPr>
        <w:t>纵深推进全成本预算绩效管理改革，选取信息化运维等涉及我区共性支出的重点领域开展成本绩效分析，探索逐步建立行业定额标准与财政支出标准相一致的标准体系；选取病媒生物预防控制项目，采取财政主导与街镇主责相结合的方式，推动成本预算绩效管理街镇全覆盖。</w:t>
      </w:r>
      <w:r>
        <w:rPr>
          <w:rFonts w:hint="eastAsia" w:cs="仿宋_GB2312"/>
          <w:b/>
          <w:szCs w:val="32"/>
        </w:rPr>
        <w:t>四是</w:t>
      </w:r>
      <w:r>
        <w:rPr>
          <w:rFonts w:hint="eastAsia" w:cs="仿宋_GB2312"/>
          <w:szCs w:val="32"/>
        </w:rPr>
        <w:t>强化预算绩效管理结果应用，总结共性问题，建立整改清单，</w:t>
      </w:r>
      <w:r>
        <w:rPr>
          <w:rFonts w:hint="eastAsia" w:ascii="仿宋" w:hAnsi="仿宋" w:eastAsia="仿宋" w:cs="仿宋_GB2312"/>
          <w:color w:val="000000"/>
          <w:szCs w:val="32"/>
        </w:rPr>
        <w:t>落实绩效结果与预算安排和调整挂钩机制</w:t>
      </w:r>
      <w:r>
        <w:rPr>
          <w:rFonts w:hint="eastAsia" w:cs="仿宋"/>
          <w:szCs w:val="32"/>
        </w:rPr>
        <w:t>。</w:t>
      </w:r>
    </w:p>
    <w:p>
      <w:pPr>
        <w:pBdr>
          <w:bottom w:val="single" w:color="FFFFFF" w:sz="4" w:space="17"/>
        </w:pBdr>
        <w:adjustRightInd w:val="0"/>
        <w:snapToGrid w:val="0"/>
        <w:ind w:firstLine="643"/>
        <w:rPr>
          <w:rFonts w:hAnsi="黑体"/>
          <w:szCs w:val="32"/>
        </w:rPr>
      </w:pPr>
      <w:r>
        <w:rPr>
          <w:rFonts w:hint="eastAsia"/>
          <w:b/>
          <w:bCs/>
        </w:rPr>
        <w:t>扎实做好国有资产管理工作。</w:t>
      </w:r>
      <w:r>
        <w:rPr>
          <w:rFonts w:hint="eastAsia" w:hAnsi="黑体"/>
          <w:b/>
          <w:szCs w:val="32"/>
        </w:rPr>
        <w:t>一是</w:t>
      </w:r>
      <w:r>
        <w:rPr>
          <w:rFonts w:hint="eastAsia" w:hAnsi="黑体"/>
          <w:szCs w:val="32"/>
        </w:rPr>
        <w:t>持续强化行政事业性国有资产管理。规范开展国有资产审批事项,推进公共基础设施资产登记入账；优化实物库全区调剂使用功能，逐步扩大实物库可回收资产的类型和数量，多渠道盘活国有资产；落实落细国有资产报告制度，逐步实现</w:t>
      </w:r>
      <w:r>
        <w:rPr>
          <w:rFonts w:hint="eastAsia"/>
          <w:color w:val="000000"/>
          <w:kern w:val="0"/>
          <w:szCs w:val="32"/>
        </w:rPr>
        <w:t>“全口径、全覆盖”要求。</w:t>
      </w:r>
      <w:r>
        <w:rPr>
          <w:rFonts w:hint="eastAsia" w:hAnsi="黑体"/>
          <w:b/>
          <w:szCs w:val="32"/>
        </w:rPr>
        <w:t>二是</w:t>
      </w:r>
      <w:r>
        <w:rPr>
          <w:rFonts w:hint="eastAsia" w:hAnsi="黑体"/>
          <w:szCs w:val="32"/>
        </w:rPr>
        <w:t>扎实推进国企改革深化提升。围绕“四个平台”优化国资布局，完善国有资产监管机制，加强风险控制管理；完成国企改革三年行动，优化资源配置，推动现代企业制度建立健全。</w:t>
      </w:r>
      <w:r>
        <w:rPr>
          <w:rFonts w:hint="eastAsia" w:hAnsi="黑体"/>
          <w:b/>
          <w:szCs w:val="32"/>
        </w:rPr>
        <w:t>三是</w:t>
      </w:r>
      <w:r>
        <w:rPr>
          <w:rFonts w:hint="eastAsia" w:hAnsi="黑体"/>
          <w:szCs w:val="32"/>
        </w:rPr>
        <w:t>全面加强自然资源资产管理。坚持绿色低碳循环发展理念，推进生态文明建设，建立健全自然资源管理制度体系，稳步推进自然资源统一确权登记。</w:t>
      </w:r>
    </w:p>
    <w:p>
      <w:pPr>
        <w:pBdr>
          <w:bottom w:val="single" w:color="FFFFFF" w:sz="4" w:space="16"/>
        </w:pBdr>
        <w:tabs>
          <w:tab w:val="left" w:pos="3038"/>
        </w:tabs>
        <w:overflowPunct w:val="0"/>
        <w:adjustRightInd w:val="0"/>
        <w:snapToGrid w:val="0"/>
        <w:ind w:firstLine="640"/>
      </w:pPr>
      <w:r>
        <w:rPr>
          <w:rFonts w:hint="eastAsia"/>
        </w:rPr>
        <w:t>各位代表</w:t>
      </w:r>
      <w:r>
        <w:t>，</w:t>
      </w:r>
      <w:r>
        <w:rPr>
          <w:rFonts w:hint="eastAsia"/>
        </w:rPr>
        <w:t>2023年，在财政收支“紧平衡”的形势下，我们认真落实中央、北京市及区委、区政府的各项部署，坚持稳字当头、稳中求进，围绕高质量发展这个首要任务和构建新发展格局这个战略任务，兼顾需要与可能、当前与长远、发展与安全，实施好积极的财政政策，</w:t>
      </w:r>
      <w:r>
        <w:rPr>
          <w:rFonts w:hint="eastAsia" w:cs="仿宋_GB2312"/>
          <w:szCs w:val="32"/>
        </w:rPr>
        <w:t>全区经济高质量发展扎实推进</w:t>
      </w:r>
      <w:r>
        <w:rPr>
          <w:rFonts w:hint="eastAsia"/>
        </w:rPr>
        <w:t>。同时，我们也清醒地认识到，全区财政运行仍面临诸多问题和挑战：</w:t>
      </w:r>
    </w:p>
    <w:p>
      <w:pPr>
        <w:pBdr>
          <w:bottom w:val="single" w:color="FFFFFF" w:sz="4" w:space="16"/>
        </w:pBdr>
        <w:tabs>
          <w:tab w:val="left" w:pos="3038"/>
        </w:tabs>
        <w:overflowPunct w:val="0"/>
        <w:adjustRightInd w:val="0"/>
        <w:snapToGrid w:val="0"/>
        <w:ind w:firstLine="643"/>
        <w:rPr>
          <w:rFonts w:cs="仿宋_GB2312"/>
          <w:snapToGrid w:val="0"/>
          <w:kern w:val="0"/>
          <w:szCs w:val="32"/>
        </w:rPr>
      </w:pPr>
      <w:r>
        <w:rPr>
          <w:rFonts w:hint="eastAsia" w:cs="仿宋_GB2312"/>
          <w:b/>
          <w:snapToGrid w:val="0"/>
          <w:kern w:val="0"/>
          <w:szCs w:val="32"/>
        </w:rPr>
        <w:t>一是财政收支矛盾依然较大</w:t>
      </w:r>
      <w:r>
        <w:rPr>
          <w:rFonts w:hint="eastAsia"/>
          <w:b/>
          <w:bCs/>
        </w:rPr>
        <w:t>。</w:t>
      </w:r>
      <w:r>
        <w:rPr>
          <w:rFonts w:hint="eastAsia" w:cs="仿宋_GB2312"/>
          <w:szCs w:val="32"/>
        </w:rPr>
        <w:t>总体来看，全区经济回升向好、长期向好的基本趋势没有改变，但仍面临较多挑战：主要是有效需求不足、部分行业产能过剩、投资消费信心有待进一步提振；外部环境的复杂性、严峻性、不确定性上升；规模以上企业利润增长速度放缓等，财政收入高速增长存在较大压力。</w:t>
      </w:r>
      <w:r>
        <w:rPr>
          <w:rFonts w:hint="eastAsia" w:cs="仿宋_GB2312"/>
          <w:snapToGrid w:val="0"/>
          <w:kern w:val="0"/>
          <w:szCs w:val="32"/>
        </w:rPr>
        <w:t>与此同时，债券还本付息、</w:t>
      </w:r>
      <w:r>
        <w:rPr>
          <w:rFonts w:hint="eastAsia" w:hAnsi="Times New Roman"/>
          <w:szCs w:val="32"/>
        </w:rPr>
        <w:t>民生保障、</w:t>
      </w:r>
      <w:r>
        <w:rPr>
          <w:rFonts w:hint="eastAsia" w:cs="仿宋_GB2312"/>
          <w:snapToGrid w:val="0"/>
          <w:kern w:val="0"/>
          <w:szCs w:val="32"/>
        </w:rPr>
        <w:t>重点村庄拆迁腾退等各项刚性资金需求持续增长，一定时期内财政“紧平衡”的状态仍将持续。</w:t>
      </w:r>
    </w:p>
    <w:p>
      <w:pPr>
        <w:pBdr>
          <w:bottom w:val="single" w:color="FFFFFF" w:sz="4" w:space="16"/>
        </w:pBdr>
        <w:tabs>
          <w:tab w:val="left" w:pos="3038"/>
        </w:tabs>
        <w:overflowPunct w:val="0"/>
        <w:adjustRightInd w:val="0"/>
        <w:snapToGrid w:val="0"/>
        <w:ind w:firstLine="643"/>
      </w:pPr>
      <w:r>
        <w:rPr>
          <w:rFonts w:hint="eastAsia" w:cs="仿宋_GB2312"/>
          <w:b/>
          <w:snapToGrid w:val="0"/>
          <w:kern w:val="0"/>
          <w:szCs w:val="32"/>
        </w:rPr>
        <w:t>二是部分单位财政意识淡薄。</w:t>
      </w:r>
      <w:r>
        <w:rPr>
          <w:rFonts w:hint="eastAsia"/>
        </w:rPr>
        <w:t>在过紧日子成为常态化的背景下，预算编制工作中依然存在“基数+增长”的固化思维，预算执行中由于项目前期谋划不够，“钱等项目”情况仍然存在，造成资金闲置浪费和效率低下。</w:t>
      </w:r>
    </w:p>
    <w:p>
      <w:pPr>
        <w:pBdr>
          <w:bottom w:val="single" w:color="FFFFFF" w:sz="4" w:space="16"/>
        </w:pBdr>
        <w:tabs>
          <w:tab w:val="left" w:pos="3038"/>
        </w:tabs>
        <w:overflowPunct w:val="0"/>
        <w:adjustRightInd w:val="0"/>
        <w:snapToGrid w:val="0"/>
        <w:ind w:firstLine="643"/>
        <w:rPr>
          <w:rFonts w:cs="仿宋_GB2312"/>
          <w:szCs w:val="32"/>
        </w:rPr>
      </w:pPr>
      <w:r>
        <w:rPr>
          <w:rFonts w:hint="eastAsia" w:cs="仿宋_GB2312"/>
          <w:b/>
          <w:snapToGrid w:val="0"/>
          <w:kern w:val="0"/>
          <w:szCs w:val="32"/>
        </w:rPr>
        <w:t>三是财政管理水平还需进一步提高。</w:t>
      </w:r>
      <w:r>
        <w:rPr>
          <w:rFonts w:hint="eastAsia" w:cs="仿宋_GB2312"/>
          <w:szCs w:val="32"/>
        </w:rPr>
        <w:t>在产业资金管理方面，需进一步优化支出结构，加大对中小企业、高新技术企业的支持力度，强化对企业未来成长性的评估和跟踪。此外，</w:t>
      </w:r>
      <w:r>
        <w:rPr>
          <w:rFonts w:hint="eastAsia"/>
        </w:rPr>
        <w:t>在绩效结果运用、财政代管单位资金管理、重点支出项目执行进度等方面，我们还需持续跟踪落实，确保改彻底、改到位、不反弹。</w:t>
      </w:r>
    </w:p>
    <w:p>
      <w:pPr>
        <w:pBdr>
          <w:bottom w:val="single" w:color="FFFFFF" w:sz="4" w:space="17"/>
        </w:pBdr>
        <w:tabs>
          <w:tab w:val="left" w:pos="3038"/>
        </w:tabs>
        <w:ind w:firstLine="640"/>
      </w:pPr>
      <w:r>
        <w:rPr>
          <w:rFonts w:hint="eastAsia"/>
        </w:rPr>
        <w:t>针对上述问题，恳请各位代表在审议过程中提出宝贵意见和建议。</w:t>
      </w:r>
    </w:p>
    <w:p>
      <w:pPr>
        <w:pStyle w:val="29"/>
        <w:rPr>
          <w:rFonts w:hint="default"/>
          <w:sz w:val="32"/>
          <w:szCs w:val="32"/>
        </w:rPr>
      </w:pPr>
      <w:r>
        <w:rPr>
          <w:sz w:val="32"/>
          <w:szCs w:val="32"/>
        </w:rPr>
        <w:t>第二部分  2024年预算草案</w:t>
      </w:r>
    </w:p>
    <w:p>
      <w:pPr>
        <w:tabs>
          <w:tab w:val="left" w:pos="3038"/>
        </w:tabs>
        <w:overflowPunct w:val="0"/>
        <w:snapToGrid w:val="0"/>
        <w:ind w:firstLine="640"/>
        <w:jc w:val="left"/>
        <w:rPr>
          <w:rFonts w:ascii="黑体" w:eastAsia="黑体"/>
          <w:snapToGrid w:val="0"/>
          <w:color w:val="000000" w:themeColor="text1"/>
          <w:kern w:val="0"/>
          <w:szCs w:val="32"/>
          <w:highlight w:val="yellow"/>
          <w14:textFill>
            <w14:solidFill>
              <w14:schemeClr w14:val="tx1"/>
            </w14:solidFill>
          </w14:textFill>
        </w:rPr>
      </w:pPr>
    </w:p>
    <w:p>
      <w:pPr>
        <w:pStyle w:val="2"/>
        <w:ind w:firstLine="640"/>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20</w:t>
      </w:r>
      <w:r>
        <w:rPr>
          <w:rStyle w:val="50"/>
          <w:rFonts w:hint="eastAsia"/>
          <w:color w:val="000000" w:themeColor="text1"/>
          <w14:textFill>
            <w14:solidFill>
              <w14:schemeClr w14:val="tx1"/>
            </w14:solidFill>
          </w14:textFill>
        </w:rPr>
        <w:t>24年预</w:t>
      </w:r>
      <w:r>
        <w:rPr>
          <w:rFonts w:hint="eastAsia"/>
          <w:color w:val="000000" w:themeColor="text1"/>
          <w14:textFill>
            <w14:solidFill>
              <w14:schemeClr w14:val="tx1"/>
            </w14:solidFill>
          </w14:textFill>
        </w:rPr>
        <w:t>算</w:t>
      </w:r>
      <w:r>
        <w:rPr>
          <w:rStyle w:val="50"/>
          <w:rFonts w:hint="eastAsia"/>
          <w:color w:val="000000" w:themeColor="text1"/>
          <w14:textFill>
            <w14:solidFill>
              <w14:schemeClr w14:val="tx1"/>
            </w14:solidFill>
          </w14:textFill>
        </w:rPr>
        <w:t>编制</w:t>
      </w:r>
      <w:r>
        <w:rPr>
          <w:rFonts w:hint="eastAsia"/>
          <w:color w:val="000000" w:themeColor="text1"/>
          <w14:textFill>
            <w14:solidFill>
              <w14:schemeClr w14:val="tx1"/>
            </w14:solidFill>
          </w14:textFill>
        </w:rPr>
        <w:t>的指导思想和总体要求</w:t>
      </w:r>
    </w:p>
    <w:p>
      <w:pPr>
        <w:ind w:firstLine="640"/>
        <w:rPr>
          <w:rStyle w:val="50"/>
          <w:rFonts w:eastAsia="仿宋_GB2312"/>
          <w:color w:val="000000" w:themeColor="text1"/>
          <w14:textFill>
            <w14:solidFill>
              <w14:schemeClr w14:val="tx1"/>
            </w14:solidFill>
          </w14:textFill>
        </w:rPr>
      </w:pPr>
      <w:r>
        <w:rPr>
          <w:rFonts w:hint="eastAsia"/>
          <w:color w:val="000000" w:themeColor="text1"/>
          <w14:textFill>
            <w14:solidFill>
              <w14:schemeClr w14:val="tx1"/>
            </w14:solidFill>
          </w14:textFill>
        </w:rPr>
        <w:t>2024年是新中国成立75周年，是实施“十四五”规划的关键一年，也是京津冀协同发展战略实施10周年</w:t>
      </w:r>
      <w:r>
        <w:rPr>
          <w:rFonts w:hint="eastAsia" w:hAnsi="宋体" w:cs="仿宋_GB2312"/>
          <w:color w:val="000000" w:themeColor="text1"/>
          <w:szCs w:val="32"/>
          <w:shd w:val="clear" w:color="auto" w:fill="FFFFFF"/>
          <w14:textFill>
            <w14:solidFill>
              <w14:schemeClr w14:val="tx1"/>
            </w14:solidFill>
          </w14:textFill>
        </w:rPr>
        <w:t>，认真做好财政预算编制工作，充分发挥积极财政政策作用，为海淀高质量发展提供坚实财力保障意义重大。</w:t>
      </w:r>
    </w:p>
    <w:p>
      <w:pPr>
        <w:ind w:firstLine="640"/>
        <w:rPr>
          <w:color w:val="000000" w:themeColor="text1"/>
          <w14:textFill>
            <w14:solidFill>
              <w14:schemeClr w14:val="tx1"/>
            </w14:solidFill>
          </w14:textFill>
        </w:rPr>
      </w:pPr>
      <w:r>
        <w:rPr>
          <w:rStyle w:val="50"/>
          <w:rFonts w:hint="eastAsia"/>
          <w:color w:val="000000" w:themeColor="text1"/>
          <w14:textFill>
            <w14:solidFill>
              <w14:schemeClr w14:val="tx1"/>
            </w14:solidFill>
          </w14:textFill>
        </w:rPr>
        <w:t>2024年预算编制的指导思想是：</w:t>
      </w:r>
      <w:r>
        <w:rPr>
          <w:rFonts w:hint="eastAsia"/>
          <w:color w:val="000000" w:themeColor="text1"/>
          <w14:textFill>
            <w14:solidFill>
              <w14:schemeClr w14:val="tx1"/>
            </w14:solidFill>
          </w14:textFill>
        </w:rPr>
        <w:t>以习近平新时代中国特色社会主义思想为指导，全面贯彻落实党的二十大和二十届二中全会、</w:t>
      </w:r>
      <w:r>
        <w:rPr>
          <w:rFonts w:hint="eastAsia" w:hAnsi="宋体" w:cs="宋体"/>
          <w:color w:val="000000" w:themeColor="text1"/>
          <w:kern w:val="0"/>
          <w:szCs w:val="32"/>
          <w14:textFill>
            <w14:solidFill>
              <w14:schemeClr w14:val="tx1"/>
            </w14:solidFill>
          </w14:textFill>
        </w:rPr>
        <w:t>中央经济工作会议及区委十三届五次、六次全会精神，坚持“稳中求进、以进促稳、先立后破”，积极的财政政策要适度加力、提质增效，巩固和增强经济回升向好态势，持续推动经济实现质的有效提升和量的合理增长，增进民生福祉，保持社会稳定，</w:t>
      </w:r>
      <w:r>
        <w:rPr>
          <w:rFonts w:hint="eastAsia"/>
          <w:color w:val="000000" w:themeColor="text1"/>
          <w14:textFill>
            <w14:solidFill>
              <w14:schemeClr w14:val="tx1"/>
            </w14:solidFill>
          </w14:textFill>
        </w:rPr>
        <w:t>助力海淀区高质量发展。</w:t>
      </w:r>
    </w:p>
    <w:p>
      <w:pPr>
        <w:ind w:firstLine="643"/>
        <w:rPr>
          <w:szCs w:val="32"/>
        </w:rPr>
      </w:pPr>
      <w:r>
        <w:rPr>
          <w:rFonts w:hint="eastAsia" w:hAnsi="宋体" w:cs="宋体"/>
          <w:b/>
          <w:bCs/>
          <w:color w:val="000000" w:themeColor="text1"/>
          <w:kern w:val="0"/>
          <w:szCs w:val="32"/>
          <w14:textFill>
            <w14:solidFill>
              <w14:schemeClr w14:val="tx1"/>
            </w14:solidFill>
          </w14:textFill>
        </w:rPr>
        <w:t>“稳”</w:t>
      </w:r>
      <w:r>
        <w:rPr>
          <w:rFonts w:hint="eastAsia" w:hAnsi="宋体" w:cs="宋体"/>
          <w:color w:val="000000" w:themeColor="text1"/>
          <w:kern w:val="0"/>
          <w:szCs w:val="32"/>
          <w14:textFill>
            <w14:solidFill>
              <w14:schemeClr w14:val="tx1"/>
            </w14:solidFill>
          </w14:textFill>
        </w:rPr>
        <w:t>就是要积极落实稳预期、稳增长、稳就业政策，强化区级财政政策逆周期和跨周期调节；</w:t>
      </w:r>
      <w:r>
        <w:rPr>
          <w:rFonts w:hint="eastAsia" w:hAnsi="宋体" w:cs="宋体"/>
          <w:b/>
          <w:bCs/>
          <w:color w:val="000000" w:themeColor="text1"/>
          <w:kern w:val="0"/>
          <w:szCs w:val="32"/>
          <w14:textFill>
            <w14:solidFill>
              <w14:schemeClr w14:val="tx1"/>
            </w14:solidFill>
          </w14:textFill>
        </w:rPr>
        <w:t>“进”</w:t>
      </w:r>
      <w:r>
        <w:rPr>
          <w:rFonts w:hint="eastAsia" w:hAnsi="宋体" w:cs="宋体"/>
          <w:color w:val="000000" w:themeColor="text1"/>
          <w:kern w:val="0"/>
          <w:szCs w:val="32"/>
          <w14:textFill>
            <w14:solidFill>
              <w14:schemeClr w14:val="tx1"/>
            </w14:solidFill>
          </w14:textFill>
        </w:rPr>
        <w:t>就是</w:t>
      </w:r>
      <w:r>
        <w:rPr>
          <w:rFonts w:hint="eastAsia" w:hAnsi="宋体" w:cs="宋体"/>
          <w:kern w:val="0"/>
          <w:szCs w:val="32"/>
        </w:rPr>
        <w:t>要在转方式、调结构、提质量、增效益上积极进取，</w:t>
      </w:r>
      <w:r>
        <w:rPr>
          <w:rFonts w:hint="eastAsia"/>
        </w:rPr>
        <w:t>重点关注预算资金</w:t>
      </w:r>
      <w:r>
        <w:rPr>
          <w:rFonts w:hint="eastAsia" w:hAnsi="宋体" w:cs="宋体"/>
          <w:kern w:val="0"/>
          <w:szCs w:val="32"/>
        </w:rPr>
        <w:t>配置效率、使用效益，特别是重大政策和项目实施效果，不断提升财政资</w:t>
      </w:r>
      <w:r>
        <w:rPr>
          <w:rFonts w:hint="eastAsia"/>
          <w:szCs w:val="32"/>
        </w:rPr>
        <w:t>金投入产出比；</w:t>
      </w:r>
      <w:r>
        <w:rPr>
          <w:rFonts w:hint="eastAsia" w:hAnsi="宋体" w:cs="宋体"/>
          <w:b/>
          <w:bCs/>
          <w:kern w:val="0"/>
          <w:szCs w:val="32"/>
        </w:rPr>
        <w:t>“立”</w:t>
      </w:r>
      <w:r>
        <w:rPr>
          <w:rFonts w:hint="eastAsia" w:hAnsi="宋体" w:cs="宋体"/>
          <w:kern w:val="0"/>
          <w:szCs w:val="32"/>
        </w:rPr>
        <w:t>就是要加快推进以“人工智能”为核心的科技创新，进而推动产业创新，形成新质生产力；</w:t>
      </w:r>
      <w:r>
        <w:rPr>
          <w:rFonts w:hint="eastAsia" w:hAnsi="宋体" w:cs="宋体"/>
          <w:b/>
          <w:bCs/>
          <w:kern w:val="0"/>
          <w:szCs w:val="32"/>
        </w:rPr>
        <w:t>“破”</w:t>
      </w:r>
      <w:r>
        <w:rPr>
          <w:rFonts w:hint="eastAsia" w:hAnsi="宋体" w:cs="宋体"/>
          <w:kern w:val="0"/>
          <w:szCs w:val="32"/>
        </w:rPr>
        <w:t>就是要敢于破除各类阻碍经济增长的堵点，突破瓶颈制约，</w:t>
      </w:r>
      <w:r>
        <w:rPr>
          <w:rFonts w:hint="eastAsia"/>
          <w:szCs w:val="32"/>
        </w:rPr>
        <w:t xml:space="preserve">树牢过紧日子理念，严格过紧日子执行。  </w:t>
      </w:r>
    </w:p>
    <w:p>
      <w:pPr>
        <w:ind w:firstLine="640"/>
      </w:pPr>
      <w:r>
        <w:rPr>
          <w:rStyle w:val="50"/>
          <w:rFonts w:hint="eastAsia"/>
        </w:rPr>
        <w:t>2024年预算编制的总体要求是：</w:t>
      </w:r>
      <w:r>
        <w:rPr>
          <w:rFonts w:hint="eastAsia" w:hAnsi="宋体" w:cs="宋体"/>
          <w:kern w:val="0"/>
          <w:szCs w:val="32"/>
        </w:rPr>
        <w:t>统</w:t>
      </w:r>
      <w:r>
        <w:rPr>
          <w:rFonts w:hint="eastAsia"/>
        </w:rPr>
        <w:t>筹“四个关系”,用好“六个钱”。</w:t>
      </w:r>
    </w:p>
    <w:p>
      <w:pPr>
        <w:pBdr>
          <w:bottom w:val="single" w:color="FFFFFF" w:sz="4" w:space="17"/>
        </w:pBdr>
        <w:ind w:firstLine="640"/>
        <w:rPr>
          <w:rStyle w:val="50"/>
          <w:rFonts w:ascii="楷体_GB2312" w:hAnsi="楷体_GB2312" w:eastAsia="楷体_GB2312" w:cs="楷体_GB2312"/>
        </w:rPr>
      </w:pPr>
      <w:r>
        <w:rPr>
          <w:rStyle w:val="50"/>
          <w:rFonts w:hint="eastAsia" w:ascii="楷体_GB2312" w:hAnsi="楷体_GB2312" w:eastAsia="楷体_GB2312" w:cs="楷体_GB2312"/>
        </w:rPr>
        <w:t>（一）统筹“四个关系”</w:t>
      </w:r>
    </w:p>
    <w:p>
      <w:pPr>
        <w:pBdr>
          <w:bottom w:val="single" w:color="FFFFFF" w:sz="4" w:space="17"/>
        </w:pBdr>
        <w:ind w:firstLine="643"/>
        <w:rPr>
          <w:rFonts w:hAnsi="宋体" w:cs="宋体"/>
          <w:kern w:val="0"/>
          <w:szCs w:val="32"/>
        </w:rPr>
      </w:pPr>
      <w:r>
        <w:rPr>
          <w:rFonts w:hint="eastAsia"/>
          <w:b/>
          <w:bCs/>
        </w:rPr>
        <w:t>“财与政”</w:t>
      </w:r>
      <w:r>
        <w:rPr>
          <w:rFonts w:hint="eastAsia"/>
        </w:rPr>
        <w:t>:</w:t>
      </w:r>
      <w:r>
        <w:rPr>
          <w:rFonts w:hint="eastAsia" w:hAnsi="宋体" w:cs="宋体"/>
          <w:kern w:val="0"/>
          <w:szCs w:val="32"/>
        </w:rPr>
        <w:t>体现财政的政治性。要始终坚持“以政领财、以财辅政”，站稳人民立场，把思想和行动高度统一到中央对经济形势的重大判断和对经济工作的决策部署上来，坚持正确的政治方向。</w:t>
      </w:r>
    </w:p>
    <w:p>
      <w:pPr>
        <w:pBdr>
          <w:bottom w:val="single" w:color="FFFFFF" w:sz="4" w:space="17"/>
        </w:pBdr>
        <w:ind w:firstLine="643"/>
      </w:pPr>
      <w:r>
        <w:rPr>
          <w:rFonts w:hint="eastAsia"/>
          <w:b/>
          <w:bCs/>
        </w:rPr>
        <w:t>“财与法”</w:t>
      </w:r>
      <w:r>
        <w:rPr>
          <w:rFonts w:hint="eastAsia"/>
        </w:rPr>
        <w:t>:</w:t>
      </w:r>
      <w:r>
        <w:rPr>
          <w:rFonts w:hint="eastAsia" w:hAnsi="宋体" w:cs="宋体"/>
          <w:kern w:val="0"/>
          <w:szCs w:val="32"/>
        </w:rPr>
        <w:t>体现财政的法治性。要严格遵守《预算法》《预算法实施条例》《政府采购法》等规定，加快财政法制建设，切实做到有法必依，执法必严，违法必究，守牢财政安全底线。</w:t>
      </w:r>
    </w:p>
    <w:p>
      <w:pPr>
        <w:pBdr>
          <w:bottom w:val="single" w:color="FFFFFF" w:sz="4" w:space="17"/>
        </w:pBdr>
        <w:ind w:firstLine="643"/>
      </w:pPr>
      <w:r>
        <w:rPr>
          <w:rFonts w:hint="eastAsia"/>
          <w:b/>
          <w:bCs/>
        </w:rPr>
        <w:t>“财与事”</w:t>
      </w:r>
      <w:r>
        <w:rPr>
          <w:rFonts w:hint="eastAsia"/>
        </w:rPr>
        <w:t>:体现财政的科学性。要按照</w:t>
      </w:r>
      <w:r>
        <w:rPr>
          <w:rFonts w:hint="eastAsia"/>
          <w:b/>
          <w:bCs/>
        </w:rPr>
        <w:t>“保常事、办大事、干新事、应急事”</w:t>
      </w:r>
      <w:r>
        <w:rPr>
          <w:rFonts w:hint="eastAsia"/>
        </w:rPr>
        <w:t>的要求，谋划好每一件事，安排好每一笔钱；同时，要四问“该不该”，一问“钱该不该政府花”，二问“该不该当前花”，三问“该不该在这个地方花”，四问“该不该花这么多”，确保财政支出精准高效。</w:t>
      </w:r>
    </w:p>
    <w:p>
      <w:pPr>
        <w:pBdr>
          <w:bottom w:val="single" w:color="FFFFFF" w:sz="4" w:space="17"/>
        </w:pBdr>
        <w:ind w:firstLine="643"/>
      </w:pPr>
      <w:r>
        <w:rPr>
          <w:rFonts w:hint="eastAsia"/>
          <w:b/>
          <w:bCs/>
        </w:rPr>
        <w:t>“财与人”</w:t>
      </w:r>
      <w:r>
        <w:rPr>
          <w:rFonts w:hint="eastAsia"/>
        </w:rPr>
        <w:t>:体现财政的人本性。要围绕“七有、五性”，在</w:t>
      </w:r>
      <w:r>
        <w:rPr>
          <w:rFonts w:hint="eastAsia" w:cs="仿宋_GB2312"/>
        </w:rPr>
        <w:t>社会保障、</w:t>
      </w:r>
      <w:r>
        <w:rPr>
          <w:rFonts w:hint="eastAsia"/>
        </w:rPr>
        <w:t>医疗卫生、住房保障等方面兜底保障，满</w:t>
      </w:r>
      <w:r>
        <w:rPr>
          <w:rFonts w:hint="eastAsia" w:cs="仿宋_GB2312"/>
        </w:rPr>
        <w:t>足人民群众的基本</w:t>
      </w:r>
      <w:r>
        <w:rPr>
          <w:rFonts w:hint="eastAsia"/>
        </w:rPr>
        <w:t>物质需求；支持整合文化资源，打造海淀文化品牌，创作“接地气、冒热气、有灵气”、群众喜闻乐见的文化产品，讲好海淀故事，讲好中关村故事，推动文化事业健康发展，不断满足人民群众的精神文化需求。</w:t>
      </w:r>
    </w:p>
    <w:p>
      <w:pPr>
        <w:pBdr>
          <w:bottom w:val="single" w:color="FFFFFF" w:sz="4" w:space="17"/>
        </w:pBdr>
        <w:ind w:firstLine="640"/>
        <w:rPr>
          <w:rStyle w:val="50"/>
          <w:rFonts w:ascii="楷体_GB2312" w:hAnsi="楷体_GB2312" w:eastAsia="楷体_GB2312" w:cs="楷体_GB2312"/>
        </w:rPr>
      </w:pPr>
      <w:r>
        <w:rPr>
          <w:rStyle w:val="50"/>
          <w:rFonts w:hint="eastAsia" w:ascii="楷体_GB2312" w:hAnsi="楷体_GB2312" w:eastAsia="楷体_GB2312" w:cs="楷体_GB2312"/>
        </w:rPr>
        <w:t>（二）用好“六个钱”</w:t>
      </w:r>
    </w:p>
    <w:p>
      <w:pPr>
        <w:pBdr>
          <w:bottom w:val="single" w:color="FFFFFF" w:sz="4" w:space="17"/>
        </w:pBdr>
        <w:ind w:firstLine="643"/>
      </w:pPr>
      <w:r>
        <w:rPr>
          <w:rFonts w:hint="eastAsia"/>
          <w:b/>
          <w:bCs/>
        </w:rPr>
        <w:t>“筹钱”</w:t>
      </w:r>
      <w:r>
        <w:rPr>
          <w:rFonts w:hint="eastAsia"/>
        </w:rPr>
        <w:t>:要多渠道筹集资金，重点关注收入结构、征收效率和优惠政策实施效果，紧盯税收收入、土地出让收入、政府债券以及上级转移支付资金等，做好三本预算组收统筹工作，确保全区综合财力稳步增长。</w:t>
      </w:r>
    </w:p>
    <w:p>
      <w:pPr>
        <w:pBdr>
          <w:bottom w:val="single" w:color="FFFFFF" w:sz="4" w:space="17"/>
        </w:pBdr>
        <w:ind w:firstLine="643"/>
      </w:pPr>
      <w:r>
        <w:rPr>
          <w:rFonts w:hint="eastAsia"/>
          <w:b/>
          <w:bCs/>
        </w:rPr>
        <w:t>“排钱”</w:t>
      </w:r>
      <w:r>
        <w:rPr>
          <w:rFonts w:hint="eastAsia"/>
        </w:rPr>
        <w:t>:要瞄准三大领域，</w:t>
      </w:r>
      <w:r>
        <w:rPr>
          <w:rFonts w:hint="eastAsia"/>
          <w:b/>
          <w:bCs/>
        </w:rPr>
        <w:t>一是</w:t>
      </w:r>
      <w:r>
        <w:rPr>
          <w:rFonts w:hint="eastAsia" w:cs="仿宋_GB2312"/>
        </w:rPr>
        <w:t>稳民生，坚持尽力而为、量力而行，在</w:t>
      </w:r>
      <w:r>
        <w:rPr>
          <w:rFonts w:hint="eastAsia"/>
        </w:rPr>
        <w:t>教育、文体、社保就业、医疗卫生、生态环境等领域，办好群众所急、所需、所盼的民生实事。</w:t>
      </w:r>
      <w:r>
        <w:rPr>
          <w:rFonts w:hint="eastAsia"/>
          <w:b/>
          <w:bCs/>
        </w:rPr>
        <w:t>二是</w:t>
      </w:r>
      <w:r>
        <w:rPr>
          <w:rFonts w:hint="eastAsia"/>
        </w:rPr>
        <w:t>促发展，坚持“五子”联动融入新发展格局，统筹推进国际科技创新中心核心区建设、“两区”建设、数字经济、供给侧结构性改革、疏解非首都功能等重点工作。</w:t>
      </w:r>
      <w:r>
        <w:rPr>
          <w:rFonts w:hint="eastAsia"/>
          <w:b/>
          <w:bCs/>
        </w:rPr>
        <w:t>三是</w:t>
      </w:r>
      <w:r>
        <w:rPr>
          <w:rFonts w:hint="eastAsia"/>
        </w:rPr>
        <w:t>保安全，多措并举支持保障政治、经济、文化、意识形态等领域安全。</w:t>
      </w:r>
    </w:p>
    <w:p>
      <w:pPr>
        <w:pBdr>
          <w:bottom w:val="single" w:color="FFFFFF" w:sz="4" w:space="17"/>
        </w:pBdr>
        <w:spacing w:line="580" w:lineRule="exact"/>
        <w:ind w:firstLine="643"/>
      </w:pPr>
      <w:r>
        <w:rPr>
          <w:rFonts w:hint="eastAsia"/>
          <w:b/>
          <w:bCs/>
        </w:rPr>
        <w:t>“花钱”</w:t>
      </w:r>
      <w:r>
        <w:rPr>
          <w:rFonts w:hint="eastAsia"/>
        </w:rPr>
        <w:t>:党政机关要习惯过紧日子，坚持量入为出、以收定支，当好“铁公鸡”，打好“铁算盘”，将绩效管理融入预算编制、执行和监督全过程，确保每一分钱花在刀刃上。</w:t>
      </w:r>
    </w:p>
    <w:p>
      <w:pPr>
        <w:pBdr>
          <w:bottom w:val="single" w:color="FFFFFF" w:sz="4" w:space="17"/>
        </w:pBdr>
        <w:spacing w:line="580" w:lineRule="exact"/>
        <w:ind w:firstLine="643"/>
      </w:pPr>
      <w:r>
        <w:rPr>
          <w:rFonts w:hint="eastAsia"/>
          <w:b/>
          <w:bCs/>
        </w:rPr>
        <w:t>“管钱”</w:t>
      </w:r>
      <w:r>
        <w:rPr>
          <w:rFonts w:hint="eastAsia"/>
        </w:rPr>
        <w:t>:要利用好财政评审、政府采购、动态监控等约束手段，依托预算管理一体化系统，管好每一笔钱、每一个环节，提升资金支出的精准性、科学性。</w:t>
      </w:r>
    </w:p>
    <w:p>
      <w:pPr>
        <w:pBdr>
          <w:bottom w:val="single" w:color="FFFFFF" w:sz="4" w:space="17"/>
        </w:pBdr>
        <w:spacing w:line="580" w:lineRule="exact"/>
        <w:ind w:firstLine="643"/>
      </w:pPr>
      <w:r>
        <w:rPr>
          <w:rFonts w:hint="eastAsia"/>
          <w:b/>
          <w:bCs/>
        </w:rPr>
        <w:t>“借钱”</w:t>
      </w:r>
      <w:r>
        <w:rPr>
          <w:rFonts w:hint="eastAsia"/>
        </w:rPr>
        <w:t>:要坚持底线思维，提前预判和防范财政风险，</w:t>
      </w:r>
      <w:r>
        <w:rPr>
          <w:rFonts w:hint="eastAsia" w:hAnsi="Arial"/>
          <w:bCs/>
          <w:kern w:val="0"/>
          <w:szCs w:val="32"/>
        </w:rPr>
        <w:t>在债务率绿色区域内积极合理举债，把好“借、用、管、还”每一个环节，做到借得合理、用得高效、管得严格、还得及时。</w:t>
      </w:r>
    </w:p>
    <w:p>
      <w:pPr>
        <w:pBdr>
          <w:bottom w:val="single" w:color="FFFFFF" w:sz="4" w:space="17"/>
        </w:pBdr>
        <w:spacing w:line="580" w:lineRule="exact"/>
        <w:ind w:firstLine="0" w:firstLineChars="0"/>
        <w:rPr>
          <w:rFonts w:hAnsi="仿宋"/>
          <w:szCs w:val="32"/>
        </w:rPr>
      </w:pPr>
      <w:r>
        <w:rPr>
          <w:rFonts w:hint="eastAsia"/>
        </w:rPr>
        <w:t xml:space="preserve">    </w:t>
      </w:r>
      <w:r>
        <w:rPr>
          <w:rFonts w:hint="eastAsia"/>
          <w:b/>
          <w:bCs/>
        </w:rPr>
        <w:t>“晒钱”</w:t>
      </w:r>
      <w:r>
        <w:rPr>
          <w:rFonts w:hint="eastAsia"/>
        </w:rPr>
        <w:t>:要扎实做好财政预决算信息公开，把花钱的额度、过程、效率、效果、效益等都晒在“阳光”下，主动接受群众监督、媒体监督、人大监督、审计监督。</w:t>
      </w:r>
    </w:p>
    <w:p>
      <w:pPr>
        <w:pBdr>
          <w:bottom w:val="single" w:color="FFFFFF" w:sz="4" w:space="17"/>
        </w:pBdr>
        <w:spacing w:line="580" w:lineRule="exact"/>
        <w:ind w:firstLine="640"/>
        <w:rPr>
          <w:rFonts w:ascii="黑体" w:hAnsi="黑体" w:eastAsia="黑体" w:cs="黑体"/>
        </w:rPr>
      </w:pPr>
      <w:r>
        <w:rPr>
          <w:rFonts w:hint="eastAsia" w:ascii="黑体" w:hAnsi="黑体" w:eastAsia="黑体" w:cs="黑体"/>
        </w:rPr>
        <w:t>二、2024年预算安排具体情况</w:t>
      </w:r>
    </w:p>
    <w:p>
      <w:pPr>
        <w:numPr>
          <w:ilvl w:val="0"/>
          <w:numId w:val="3"/>
        </w:numPr>
        <w:pBdr>
          <w:bottom w:val="single" w:color="FFFFFF" w:sz="4" w:space="17"/>
        </w:pBdr>
        <w:spacing w:line="580" w:lineRule="exact"/>
        <w:ind w:firstLine="640"/>
      </w:pPr>
      <w:r>
        <w:rPr>
          <w:rFonts w:hint="eastAsia" w:ascii="楷体_GB2312" w:hAnsi="楷体_GB2312" w:eastAsia="楷体_GB2312" w:cs="楷体_GB2312"/>
        </w:rPr>
        <w:t>三本预算安排情况</w:t>
      </w:r>
    </w:p>
    <w:p>
      <w:pPr>
        <w:pBdr>
          <w:bottom w:val="single" w:color="FFFFFF" w:sz="4" w:space="17"/>
        </w:pBdr>
        <w:spacing w:line="580" w:lineRule="exact"/>
        <w:ind w:firstLine="643"/>
        <w:rPr>
          <w:b/>
          <w:bCs/>
        </w:rPr>
      </w:pPr>
      <w:r>
        <w:rPr>
          <w:rFonts w:hint="eastAsia"/>
          <w:b/>
          <w:bCs/>
        </w:rPr>
        <w:t>1.</w:t>
      </w:r>
      <w:r>
        <w:rPr>
          <w:b/>
          <w:bCs/>
        </w:rPr>
        <w:t>20</w:t>
      </w:r>
      <w:r>
        <w:rPr>
          <w:rFonts w:hint="eastAsia"/>
          <w:b/>
          <w:bCs/>
        </w:rPr>
        <w:t>24</w:t>
      </w:r>
      <w:r>
        <w:rPr>
          <w:b/>
          <w:bCs/>
        </w:rPr>
        <w:t>年</w:t>
      </w:r>
      <w:r>
        <w:rPr>
          <w:rFonts w:hint="eastAsia"/>
          <w:b/>
          <w:bCs/>
        </w:rPr>
        <w:t>一般公共预算安排情况</w:t>
      </w:r>
    </w:p>
    <w:p>
      <w:pPr>
        <w:pBdr>
          <w:bottom w:val="single" w:color="FFFFFF" w:sz="4" w:space="17"/>
        </w:pBdr>
        <w:tabs>
          <w:tab w:val="left" w:pos="3840"/>
        </w:tabs>
        <w:spacing w:line="580" w:lineRule="exact"/>
        <w:ind w:firstLine="640"/>
      </w:pPr>
      <w:r>
        <w:rPr>
          <w:rFonts w:hint="eastAsia"/>
        </w:rPr>
        <w:t>2024年区级一般公共预算收入增幅预计完成5.0%</w:t>
      </w:r>
      <w:r>
        <w:rPr>
          <w:rStyle w:val="28"/>
        </w:rPr>
        <w:footnoteReference w:id="13"/>
      </w:r>
      <w:r>
        <w:rPr>
          <w:rFonts w:hint="eastAsia"/>
        </w:rPr>
        <w:t>。</w:t>
      </w:r>
      <w:r>
        <w:t>20</w:t>
      </w:r>
      <w:r>
        <w:rPr>
          <w:rFonts w:hint="eastAsia"/>
        </w:rPr>
        <w:t>24</w:t>
      </w:r>
      <w:r>
        <w:t>年</w:t>
      </w:r>
      <w:r>
        <w:rPr>
          <w:rFonts w:hint="eastAsia"/>
        </w:rPr>
        <w:t>全区一般公共预算收入总计预计为781.5亿元，较上年年初预算增长11.4%。其中：区级一般公共预算收入576.3亿元；市转移支付收入147.0亿元</w:t>
      </w:r>
      <w:r>
        <w:rPr>
          <w:rStyle w:val="28"/>
          <w:rFonts w:cs="仿宋_GB2312"/>
          <w:szCs w:val="32"/>
        </w:rPr>
        <w:footnoteReference w:id="14"/>
      </w:r>
      <w:r>
        <w:rPr>
          <w:rFonts w:hint="eastAsia"/>
        </w:rPr>
        <w:t>；上年专项结转资金30.3亿元；从国有资本经营预算等调入资金6634万元</w:t>
      </w:r>
      <w:r>
        <w:rPr>
          <w:rStyle w:val="28"/>
          <w:rFonts w:cs="仿宋_GB2312"/>
          <w:snapToGrid w:val="0"/>
          <w:szCs w:val="32"/>
        </w:rPr>
        <w:footnoteReference w:id="15"/>
      </w:r>
      <w:r>
        <w:rPr>
          <w:rFonts w:hint="eastAsia"/>
        </w:rPr>
        <w:t>，从预算稳定调节基金调入27.3亿元</w:t>
      </w:r>
      <w:r>
        <w:rPr>
          <w:rStyle w:val="28"/>
          <w:rFonts w:cs="仿宋_GB2312"/>
          <w:snapToGrid w:val="0"/>
          <w:szCs w:val="32"/>
        </w:rPr>
        <w:footnoteReference w:id="16"/>
      </w:r>
      <w:r>
        <w:rPr>
          <w:rFonts w:hint="eastAsia"/>
        </w:rPr>
        <w:t>。</w:t>
      </w:r>
      <w:r>
        <w:t>20</w:t>
      </w:r>
      <w:r>
        <w:rPr>
          <w:rFonts w:hint="eastAsia"/>
        </w:rPr>
        <w:t>24</w:t>
      </w:r>
      <w:r>
        <w:t>年</w:t>
      </w:r>
      <w:r>
        <w:rPr>
          <w:rFonts w:hint="eastAsia"/>
        </w:rPr>
        <w:t>全区一般公共预算支出计划安排781.5亿元，同比增长11.4%。其中：区级支出732.8亿元；债务还本支出18.1亿元；上解市级支出30.6亿元</w:t>
      </w:r>
      <w:r>
        <w:rPr>
          <w:rStyle w:val="28"/>
          <w:rFonts w:cs="仿宋_GB2312"/>
          <w:snapToGrid w:val="0"/>
          <w:szCs w:val="32"/>
        </w:rPr>
        <w:footnoteReference w:id="17"/>
      </w:r>
      <w:r>
        <w:rPr>
          <w:rFonts w:hint="eastAsia"/>
        </w:rPr>
        <w:t>；区本级支出中计划安排预备费8.0亿元，占区级一般公共预算支出的1.1%。</w:t>
      </w:r>
    </w:p>
    <w:p>
      <w:pPr>
        <w:pBdr>
          <w:bottom w:val="single" w:color="FFFFFF" w:sz="4" w:space="17"/>
        </w:pBdr>
        <w:ind w:firstLine="640"/>
      </w:pPr>
      <w:r>
        <w:rPr>
          <w:rFonts w:hint="eastAsia"/>
        </w:rPr>
        <w:t>2024年海淀区“三公”经费预算合计安排9430万元，其中：因公出国（境）费1607万元、公务接待费121万元、公务用车购置及运行维护费7702万元</w:t>
      </w:r>
      <w:r>
        <w:rPr>
          <w:rStyle w:val="28"/>
          <w:szCs w:val="32"/>
        </w:rPr>
        <w:footnoteReference w:id="18"/>
      </w:r>
      <w:r>
        <w:rPr>
          <w:rFonts w:hint="eastAsia"/>
        </w:rPr>
        <w:t>。</w:t>
      </w:r>
    </w:p>
    <w:p>
      <w:pPr>
        <w:pBdr>
          <w:bottom w:val="single" w:color="FFFFFF" w:sz="4" w:space="17"/>
        </w:pBdr>
        <w:ind w:firstLine="643"/>
        <w:rPr>
          <w:b/>
          <w:bCs/>
        </w:rPr>
      </w:pPr>
      <w:r>
        <w:rPr>
          <w:rFonts w:hint="eastAsia"/>
          <w:b/>
          <w:bCs/>
        </w:rPr>
        <w:t>2.</w:t>
      </w:r>
      <w:r>
        <w:rPr>
          <w:b/>
          <w:bCs/>
        </w:rPr>
        <w:t>20</w:t>
      </w:r>
      <w:r>
        <w:rPr>
          <w:rFonts w:hint="eastAsia"/>
          <w:b/>
          <w:bCs/>
        </w:rPr>
        <w:t>24</w:t>
      </w:r>
      <w:r>
        <w:rPr>
          <w:b/>
          <w:bCs/>
        </w:rPr>
        <w:t>年</w:t>
      </w:r>
      <w:r>
        <w:rPr>
          <w:rFonts w:hint="eastAsia"/>
          <w:b/>
          <w:bCs/>
        </w:rPr>
        <w:t>政府性基金预算安排情况</w:t>
      </w:r>
    </w:p>
    <w:p>
      <w:pPr>
        <w:pBdr>
          <w:bottom w:val="single" w:color="FFFFFF" w:sz="4" w:space="17"/>
        </w:pBdr>
        <w:ind w:firstLine="640"/>
      </w:pPr>
      <w:r>
        <w:t>20</w:t>
      </w:r>
      <w:r>
        <w:rPr>
          <w:rFonts w:hint="eastAsia"/>
        </w:rPr>
        <w:t>24</w:t>
      </w:r>
      <w:r>
        <w:t>年</w:t>
      </w:r>
      <w:r>
        <w:rPr>
          <w:rFonts w:hint="eastAsia"/>
        </w:rPr>
        <w:t>政府性基金预算收入总计预计为489.5亿元，同比增长82.3%。其中：政府性基金收入486.0亿元，为上年执行数的232.1%</w:t>
      </w:r>
      <w:r>
        <w:rPr>
          <w:rStyle w:val="28"/>
          <w:rFonts w:cs="仿宋_GB2312"/>
          <w:szCs w:val="32"/>
        </w:rPr>
        <w:footnoteReference w:id="19"/>
      </w:r>
      <w:r>
        <w:rPr>
          <w:rFonts w:hint="eastAsia"/>
        </w:rPr>
        <w:t>；市转移支付收入6378万元；上年专项结转2.9亿元。</w:t>
      </w:r>
      <w:r>
        <w:t>20</w:t>
      </w:r>
      <w:r>
        <w:rPr>
          <w:rFonts w:hint="eastAsia"/>
        </w:rPr>
        <w:t>24</w:t>
      </w:r>
      <w:r>
        <w:t>年</w:t>
      </w:r>
      <w:r>
        <w:rPr>
          <w:rFonts w:hint="eastAsia"/>
        </w:rPr>
        <w:t>政府性基金预算支出计划安排489.5亿元，同比增长82.3%。其中：区级支出408.2亿元；债务还本支出68.6亿元；上解市级支出12.7亿元。</w:t>
      </w:r>
    </w:p>
    <w:p>
      <w:pPr>
        <w:pBdr>
          <w:bottom w:val="single" w:color="FFFFFF" w:sz="4" w:space="17"/>
        </w:pBdr>
        <w:ind w:firstLine="643"/>
        <w:rPr>
          <w:b/>
        </w:rPr>
      </w:pPr>
      <w:r>
        <w:rPr>
          <w:rFonts w:hint="eastAsia"/>
          <w:b/>
        </w:rPr>
        <w:t>3.</w:t>
      </w:r>
      <w:r>
        <w:rPr>
          <w:b/>
        </w:rPr>
        <w:t>20</w:t>
      </w:r>
      <w:r>
        <w:rPr>
          <w:rFonts w:hint="eastAsia"/>
          <w:b/>
        </w:rPr>
        <w:t>24</w:t>
      </w:r>
      <w:r>
        <w:rPr>
          <w:b/>
        </w:rPr>
        <w:t>年</w:t>
      </w:r>
      <w:r>
        <w:rPr>
          <w:rFonts w:hint="eastAsia"/>
          <w:b/>
        </w:rPr>
        <w:t>国有资本经营预算安排情况</w:t>
      </w:r>
    </w:p>
    <w:p>
      <w:pPr>
        <w:pBdr>
          <w:bottom w:val="single" w:color="FFFFFF" w:sz="4" w:space="17"/>
        </w:pBdr>
        <w:ind w:firstLine="640"/>
      </w:pPr>
      <w:r>
        <w:rPr>
          <w:rFonts w:hint="eastAsia"/>
        </w:rPr>
        <w:t>2024年国有资本经营预算收入总计预计为4.1亿元，同比增长182.9%。其中：企业上缴利润及股利股息收入1.5亿元，为上年执行数的42.1%</w:t>
      </w:r>
      <w:r>
        <w:rPr>
          <w:rStyle w:val="28"/>
          <w:rFonts w:cs="仿宋_GB2312"/>
          <w:szCs w:val="32"/>
        </w:rPr>
        <w:footnoteReference w:id="20"/>
      </w:r>
      <w:r>
        <w:rPr>
          <w:rFonts w:hint="eastAsia"/>
        </w:rPr>
        <w:t>；市专项转移支付收入1921万元；上年结余2.4亿元。2024年国有资本经营预算支出计划安排4.1亿元，同比增长182.9%。其中：解决历史遗留问题及改革成本支出2683万元；国有经济结构调整支出2.3亿元；其他国有资本经营预算支出1.1亿元；按照国有资本经营预算收入的30%调出资金4634万元补充一般公共预算。</w:t>
      </w:r>
    </w:p>
    <w:p>
      <w:pPr>
        <w:numPr>
          <w:ilvl w:val="0"/>
          <w:numId w:val="3"/>
        </w:numPr>
        <w:pBdr>
          <w:bottom w:val="single" w:color="FFFFFF" w:sz="4" w:space="17"/>
        </w:pBdr>
        <w:ind w:firstLine="640"/>
        <w:rPr>
          <w:rFonts w:ascii="楷体_GB2312" w:hAnsi="楷体_GB2312" w:eastAsia="楷体_GB2312" w:cs="楷体_GB2312"/>
        </w:rPr>
      </w:pPr>
      <w:r>
        <w:rPr>
          <w:rFonts w:hint="eastAsia" w:ascii="楷体_GB2312" w:hAnsi="楷体_GB2312" w:eastAsia="楷体_GB2312" w:cs="楷体_GB2312"/>
        </w:rPr>
        <w:t>“两重”项目预算安排情况</w:t>
      </w:r>
    </w:p>
    <w:p>
      <w:pPr>
        <w:pBdr>
          <w:bottom w:val="single" w:color="FFFFFF" w:sz="4" w:space="17"/>
        </w:pBdr>
        <w:ind w:firstLine="640"/>
      </w:pPr>
      <w:r>
        <w:rPr>
          <w:rFonts w:hint="eastAsia"/>
        </w:rPr>
        <w:t>2024年年初预算选取院前急救站点运营，北部地区污水处理运行维护</w:t>
      </w:r>
      <w:r>
        <w:rPr>
          <w:rFonts w:hint="eastAsia"/>
          <w:spacing w:val="-6"/>
        </w:rPr>
        <w:t>费，规划保留村庄标准化管护，促进产业高质量发展专项，海淀区垃圾分类收运服务，多样化特色创建及“双新”示范区、校建设六个重点支出项目，拟安排预算资金合计</w:t>
      </w:r>
      <w:r>
        <w:rPr>
          <w:spacing w:val="-6"/>
        </w:rPr>
        <w:t>1</w:t>
      </w:r>
      <w:r>
        <w:rPr>
          <w:rFonts w:hint="eastAsia"/>
          <w:spacing w:val="-6"/>
        </w:rPr>
        <w:t>6</w:t>
      </w:r>
      <w:r>
        <w:rPr>
          <w:spacing w:val="-6"/>
        </w:rPr>
        <w:t>.</w:t>
      </w:r>
      <w:r>
        <w:rPr>
          <w:rFonts w:hint="eastAsia"/>
          <w:spacing w:val="-6"/>
        </w:rPr>
        <w:t>4亿元。</w:t>
      </w:r>
    </w:p>
    <w:p>
      <w:pPr>
        <w:pBdr>
          <w:bottom w:val="single" w:color="FFFFFF" w:sz="4" w:space="17"/>
        </w:pBdr>
        <w:ind w:firstLine="640"/>
      </w:pPr>
      <w:r>
        <w:rPr>
          <w:rFonts w:hint="eastAsia"/>
        </w:rPr>
        <w:t>选取海淀区循环经济产业园厨余垃圾处理厂废水处理应急项目，老旧小区综合整治（八里庄街道、羊坊店街道等3个街道），教师进修学校附属实验北校区改扩建工程，滨水慢行系统（海淀区南沙河滨水慢行景观提升工程），苏家坨中心医院建设，人大附中航天城学校二期工程六个政府固定资产投资重大项目，拟安排预算资金合计6.4亿元。</w:t>
      </w:r>
    </w:p>
    <w:p>
      <w:pPr>
        <w:pBdr>
          <w:bottom w:val="single" w:color="FFFFFF" w:sz="4" w:space="17"/>
        </w:pBdr>
        <w:ind w:firstLine="640"/>
      </w:pPr>
    </w:p>
    <w:p>
      <w:pPr>
        <w:numPr>
          <w:ilvl w:val="0"/>
          <w:numId w:val="3"/>
        </w:numPr>
        <w:pBdr>
          <w:bottom w:val="single" w:color="FFFFFF" w:sz="4" w:space="17"/>
        </w:pBdr>
        <w:ind w:firstLine="640"/>
        <w:rPr>
          <w:rFonts w:ascii="楷体_GB2312" w:hAnsi="楷体_GB2312" w:eastAsia="楷体_GB2312" w:cs="楷体_GB2312"/>
        </w:rPr>
      </w:pPr>
      <w:r>
        <w:rPr>
          <w:rFonts w:hint="eastAsia" w:ascii="楷体_GB2312" w:hAnsi="楷体_GB2312" w:eastAsia="楷体_GB2312" w:cs="楷体_GB2312"/>
        </w:rPr>
        <w:t>地方政府债券预算安排情况</w:t>
      </w:r>
    </w:p>
    <w:p>
      <w:pPr>
        <w:pBdr>
          <w:bottom w:val="single" w:color="FFFFFF" w:sz="4" w:space="17"/>
        </w:pBdr>
        <w:tabs>
          <w:tab w:val="left" w:pos="3038"/>
        </w:tabs>
        <w:adjustRightInd w:val="0"/>
        <w:snapToGrid w:val="0"/>
        <w:spacing w:line="540" w:lineRule="exact"/>
        <w:ind w:firstLine="640"/>
        <w:rPr>
          <w:szCs w:val="32"/>
        </w:rPr>
      </w:pPr>
      <w:r>
        <w:rPr>
          <w:rFonts w:hint="eastAsia" w:cs="仿宋_GB2312"/>
          <w:snapToGrid w:val="0"/>
          <w:szCs w:val="32"/>
        </w:rPr>
        <w:t>2024年，我区政府债务年初余额预计为885.25亿元，其中：一般债券余额209.36亿元；专项债券余额675.89亿元。2024年新增债券资金以北京市财政局正式下达的通知为准。</w:t>
      </w:r>
    </w:p>
    <w:p>
      <w:pPr>
        <w:pBdr>
          <w:bottom w:val="single" w:color="FFFFFF" w:sz="4" w:space="17"/>
        </w:pBdr>
        <w:tabs>
          <w:tab w:val="left" w:pos="3038"/>
        </w:tabs>
        <w:adjustRightInd w:val="0"/>
        <w:snapToGrid w:val="0"/>
        <w:spacing w:line="540" w:lineRule="exact"/>
        <w:ind w:firstLine="640"/>
        <w:rPr>
          <w:rFonts w:cs="仿宋_GB2312"/>
          <w:snapToGrid w:val="0"/>
          <w:szCs w:val="32"/>
        </w:rPr>
      </w:pPr>
      <w:r>
        <w:rPr>
          <w:rFonts w:hint="eastAsia"/>
          <w:szCs w:val="32"/>
        </w:rPr>
        <w:t>2024年，我区政府债务还本付息和手续费支出总额预计为112.82亿元,其中：到期还本金额86.66亿元（一</w:t>
      </w:r>
      <w:r>
        <w:rPr>
          <w:rFonts w:hint="eastAsia" w:cs="仿宋_GB2312"/>
          <w:snapToGrid w:val="0"/>
          <w:szCs w:val="32"/>
        </w:rPr>
        <w:t>般债券18.05亿元，专项债券68.61亿元</w:t>
      </w:r>
      <w:r>
        <w:rPr>
          <w:rFonts w:hint="eastAsia"/>
          <w:szCs w:val="32"/>
        </w:rPr>
        <w:t>）</w:t>
      </w:r>
      <w:r>
        <w:rPr>
          <w:rFonts w:hint="eastAsia" w:cs="仿宋_GB2312"/>
          <w:snapToGrid w:val="0"/>
          <w:szCs w:val="32"/>
        </w:rPr>
        <w:t>，利息和手续费支出26.16亿元（一般债券6.55亿元，专项债券19.61亿元）。</w:t>
      </w:r>
    </w:p>
    <w:p>
      <w:pPr>
        <w:numPr>
          <w:ilvl w:val="0"/>
          <w:numId w:val="3"/>
        </w:numPr>
        <w:pBdr>
          <w:bottom w:val="single" w:color="FFFFFF" w:sz="4" w:space="17"/>
        </w:pBdr>
        <w:spacing w:line="540" w:lineRule="exact"/>
        <w:ind w:firstLine="640"/>
        <w:rPr>
          <w:rFonts w:ascii="楷体_GB2312" w:hAnsi="楷体_GB2312" w:eastAsia="楷体_GB2312" w:cs="楷体_GB2312"/>
        </w:rPr>
      </w:pPr>
      <w:r>
        <w:rPr>
          <w:rFonts w:hint="eastAsia" w:ascii="楷体_GB2312" w:hAnsi="楷体_GB2312" w:eastAsia="楷体_GB2312" w:cs="楷体_GB2312"/>
        </w:rPr>
        <w:t>政府投资计划预算安排情况</w:t>
      </w:r>
    </w:p>
    <w:p>
      <w:pPr>
        <w:pBdr>
          <w:bottom w:val="single" w:color="FFFFFF" w:sz="4" w:space="17"/>
        </w:pBdr>
        <w:spacing w:line="540" w:lineRule="exact"/>
        <w:ind w:firstLine="640"/>
      </w:pPr>
      <w:r>
        <w:rPr>
          <w:rFonts w:hint="eastAsia"/>
        </w:rPr>
        <w:t>2024年第一批政府投资计划拟安排资金158.4亿元，其中:市级资金9.5亿元、区级资金148.9亿元。资金投向涵盖城市建设、基础设施、民生保障等方面，重点支持三山五园地区（党校东墙外）环境整治项目一期、海淀区清河中街（毛纺路-京藏高速）道路工程、北部医疗中心、教师进修学校附属实验北校区改扩建工程、人大附中航天城学校二期工程等建设。</w:t>
      </w:r>
    </w:p>
    <w:p>
      <w:pPr>
        <w:pBdr>
          <w:bottom w:val="single" w:color="FFFFFF" w:sz="4" w:space="17"/>
        </w:pBdr>
        <w:spacing w:line="540" w:lineRule="exact"/>
        <w:ind w:firstLine="640"/>
        <w:rPr>
          <w:rFonts w:ascii="黑体" w:hAnsi="黑体" w:eastAsia="黑体" w:cs="黑体"/>
        </w:rPr>
      </w:pPr>
      <w:r>
        <w:rPr>
          <w:rFonts w:hint="eastAsia" w:ascii="黑体" w:hAnsi="黑体" w:eastAsia="黑体" w:cs="黑体"/>
        </w:rPr>
        <w:t>三、2024年财政预算主要支出方向及保障重点</w:t>
      </w:r>
    </w:p>
    <w:p>
      <w:pPr>
        <w:numPr>
          <w:ilvl w:val="0"/>
          <w:numId w:val="4"/>
        </w:numPr>
        <w:pBdr>
          <w:bottom w:val="single" w:color="FFFFFF" w:sz="4" w:space="17"/>
        </w:pBdr>
        <w:spacing w:line="540" w:lineRule="exact"/>
        <w:ind w:firstLine="640"/>
        <w:rPr>
          <w:rFonts w:ascii="楷体_GB2312" w:eastAsia="楷体_GB2312" w:cs="楷体_GB2312"/>
          <w:szCs w:val="32"/>
        </w:rPr>
      </w:pPr>
      <w:r>
        <w:rPr>
          <w:rFonts w:hint="eastAsia" w:ascii="楷体_GB2312" w:hAnsi="楷体_GB2312" w:eastAsia="楷体_GB2312" w:cs="楷体_GB2312"/>
          <w:szCs w:val="32"/>
        </w:rPr>
        <w:t>畅循</w:t>
      </w:r>
      <w:r>
        <w:rPr>
          <w:rFonts w:hint="eastAsia" w:ascii="楷体_GB2312" w:eastAsia="楷体_GB2312" w:cs="楷体_GB2312"/>
          <w:szCs w:val="32"/>
        </w:rPr>
        <w:t>环、稳市场，培育经济发展新动能</w:t>
      </w:r>
    </w:p>
    <w:p>
      <w:pPr>
        <w:pBdr>
          <w:bottom w:val="single" w:color="FFFFFF" w:sz="4" w:space="17"/>
        </w:pBdr>
        <w:spacing w:line="540" w:lineRule="exact"/>
        <w:ind w:firstLine="640"/>
        <w:rPr>
          <w:kern w:val="0"/>
          <w:szCs w:val="32"/>
        </w:rPr>
      </w:pPr>
      <w:r>
        <w:rPr>
          <w:rFonts w:hint="eastAsia"/>
          <w:kern w:val="0"/>
          <w:szCs w:val="32"/>
        </w:rPr>
        <w:t>对标“三个走在最前头”要求，以及</w:t>
      </w:r>
      <w:r>
        <w:rPr>
          <w:rFonts w:hint="eastAsia"/>
          <w:szCs w:val="32"/>
        </w:rPr>
        <w:t>“三城一区”融合发展的目标，</w:t>
      </w:r>
      <w:r>
        <w:rPr>
          <w:rFonts w:hint="eastAsia"/>
          <w:kern w:val="0"/>
          <w:szCs w:val="32"/>
        </w:rPr>
        <w:t>累计安排资金47.1亿元，</w:t>
      </w:r>
      <w:r>
        <w:rPr>
          <w:rFonts w:hint="eastAsia" w:hAnsi="宋体" w:cs="宋体"/>
          <w:kern w:val="0"/>
          <w:szCs w:val="32"/>
        </w:rPr>
        <w:t>支持以科技创新推动产业创新，以颠覆性技术和前沿技术催生新产业、新模式、新动能，发展新质生产力；立足全局找准海淀定位，</w:t>
      </w:r>
      <w:r>
        <w:rPr>
          <w:rFonts w:hint="eastAsia"/>
          <w:kern w:val="0"/>
          <w:szCs w:val="32"/>
        </w:rPr>
        <w:t>建设世界领先的科技园区，率先打造人工智能产业高地，为首都率先基本实现现代化贡献硬核力量。</w:t>
      </w:r>
    </w:p>
    <w:p>
      <w:pPr>
        <w:pBdr>
          <w:bottom w:val="single" w:color="FFFFFF" w:sz="4" w:space="17"/>
        </w:pBdr>
        <w:ind w:firstLine="643"/>
        <w:rPr>
          <w:rFonts w:hAnsi="仿宋"/>
          <w:color w:val="000000"/>
          <w:szCs w:val="32"/>
          <w:highlight w:val="cyan"/>
          <w:lang w:val="zh-CN"/>
        </w:rPr>
      </w:pPr>
      <w:bookmarkStart w:id="7" w:name="OLE_LINK10"/>
      <w:r>
        <w:rPr>
          <w:rFonts w:hint="eastAsia"/>
          <w:b/>
          <w:bCs/>
          <w:kern w:val="0"/>
        </w:rPr>
        <w:t>安排资金19.5亿元，</w:t>
      </w:r>
      <w:r>
        <w:rPr>
          <w:rFonts w:hint="eastAsia" w:hAnsiTheme="minorEastAsia" w:cstheme="minorEastAsia"/>
          <w:b/>
          <w:bCs/>
          <w:szCs w:val="32"/>
        </w:rPr>
        <w:t>服务国家战略科技力量</w:t>
      </w:r>
      <w:bookmarkEnd w:id="7"/>
      <w:r>
        <w:rPr>
          <w:rFonts w:hint="eastAsia" w:hAnsiTheme="minorEastAsia" w:cstheme="minorEastAsia"/>
          <w:b/>
          <w:bCs/>
          <w:szCs w:val="32"/>
        </w:rPr>
        <w:t>。</w:t>
      </w:r>
      <w:bookmarkStart w:id="8" w:name="OLE_LINK11"/>
      <w:r>
        <w:rPr>
          <w:rFonts w:hint="eastAsia" w:hAnsiTheme="minorEastAsia" w:cstheme="minorEastAsia"/>
          <w:szCs w:val="32"/>
        </w:rPr>
        <w:t>聚焦高水平科技自立自强，深刻认识人工智能已成为新一轮科技革命和产业变革的战略制高点，决胜人工智能赛道，支持系统解决算力、算法、数据关键问题，加快人工智能大模型产业集群发展；紧盯国家实验室、全国重点实验室等重大平台，发挥高校院所基础支撑作用，承接重大科技项目；支持实施“揭榜挂帅”专项，推进科技领军企业等多元主体开展通用底层技术布局和“卡脖子”关键核心技术攻</w:t>
      </w:r>
      <w:r>
        <w:rPr>
          <w:rFonts w:hint="eastAsia" w:hAnsiTheme="minorEastAsia" w:cstheme="minorEastAsia"/>
          <w:spacing w:val="-6"/>
          <w:szCs w:val="32"/>
        </w:rPr>
        <w:t>关；</w:t>
      </w:r>
      <w:r>
        <w:rPr>
          <w:rFonts w:hint="eastAsia"/>
          <w:spacing w:val="-6"/>
          <w:szCs w:val="32"/>
        </w:rPr>
        <w:t>支持金融产业发展，整合优质金融资源，拓宽企业融资渠道；</w:t>
      </w:r>
      <w:r>
        <w:rPr>
          <w:rFonts w:hint="eastAsia" w:hAnsiTheme="minorEastAsia" w:cstheme="minorEastAsia"/>
          <w:spacing w:val="-6"/>
          <w:szCs w:val="32"/>
        </w:rPr>
        <w:t>支持出台落实北京市高水平人才高地建设措施，持续优化创新创业环境；</w:t>
      </w:r>
      <w:r>
        <w:rPr>
          <w:rFonts w:hint="eastAsia" w:hAnsi="仿宋"/>
          <w:color w:val="000000"/>
          <w:spacing w:val="-6"/>
          <w:szCs w:val="32"/>
          <w:lang w:val="zh-CN"/>
        </w:rPr>
        <w:t>支持用大平台、大项目、大团队吸引青年人才，让青年人才在关键核心技术攻关中“挑大梁”“当主角”，保持富有活力的人才结构，为率先建成国际一流科学城提供智力支撑。</w:t>
      </w:r>
    </w:p>
    <w:p>
      <w:pPr>
        <w:pBdr>
          <w:bottom w:val="single" w:color="FFFFFF" w:sz="4" w:space="17"/>
        </w:pBdr>
        <w:ind w:firstLine="643"/>
        <w:rPr>
          <w:rFonts w:hAnsiTheme="minorEastAsia" w:cstheme="minorEastAsia"/>
          <w:kern w:val="0"/>
          <w:szCs w:val="32"/>
        </w:rPr>
      </w:pPr>
      <w:r>
        <w:rPr>
          <w:rFonts w:hint="eastAsia"/>
          <w:b/>
          <w:bCs/>
          <w:kern w:val="0"/>
        </w:rPr>
        <w:t>安排资金27.6亿元，</w:t>
      </w:r>
      <w:r>
        <w:rPr>
          <w:rFonts w:hint="eastAsia" w:hAnsiTheme="minorEastAsia" w:cstheme="minorEastAsia"/>
          <w:b/>
          <w:bCs/>
          <w:szCs w:val="32"/>
        </w:rPr>
        <w:t>全面升级区域创新生态</w:t>
      </w:r>
      <w:bookmarkEnd w:id="8"/>
      <w:r>
        <w:rPr>
          <w:rFonts w:hint="eastAsia" w:hAnsiTheme="minorEastAsia" w:cstheme="minorEastAsia"/>
          <w:b/>
          <w:bCs/>
          <w:szCs w:val="32"/>
        </w:rPr>
        <w:t>。</w:t>
      </w:r>
      <w:r>
        <w:rPr>
          <w:rFonts w:hint="eastAsia" w:hAnsiTheme="minorEastAsia" w:cstheme="minorEastAsia"/>
          <w:szCs w:val="32"/>
        </w:rPr>
        <w:t>打造产业链、群、圈、带，提升在京津冀以及与长三角、珠三角的战略协作水平；用好全国首个以“研发创新”为特色的综合保税区，将中关村论坛会址打造</w:t>
      </w:r>
      <w:r>
        <w:rPr>
          <w:rFonts w:hint="eastAsia" w:hAnsiTheme="minorEastAsia" w:cstheme="minorEastAsia"/>
          <w:spacing w:val="-3"/>
          <w:szCs w:val="32"/>
        </w:rPr>
        <w:t>成国际科技交流展示交易主平台，提升开放能级，</w:t>
      </w:r>
      <w:r>
        <w:rPr>
          <w:rFonts w:hint="eastAsia" w:hAnsiTheme="minorEastAsia" w:cstheme="minorEastAsia"/>
          <w:szCs w:val="32"/>
        </w:rPr>
        <w:t>吸引更多外资项目和国际化人才；再打造一批优质的公共技术服务平台、知识产权服务平台、金融投资平台、孵化平台，做优做强创新服务；健全创新性企业早期发现、梯度培育机制，培育更多国家高新技术企业和“专精特新”企业；支持高价值企业在我区稳定发展，巩固信息产业和数字经济，面向医药健康、机器人等领域迭代、集群、引领发展，持续推进以科技为引擎动力的现代产业体系转型升级。</w:t>
      </w:r>
    </w:p>
    <w:p>
      <w:pPr>
        <w:numPr>
          <w:ilvl w:val="0"/>
          <w:numId w:val="4"/>
        </w:numPr>
        <w:pBdr>
          <w:bottom w:val="single" w:color="FFFFFF" w:sz="4" w:space="17"/>
        </w:pBdr>
        <w:ind w:firstLine="640"/>
        <w:rPr>
          <w:rFonts w:ascii="楷体_GB2312" w:eastAsia="楷体_GB2312" w:cs="楷体_GB2312"/>
          <w:szCs w:val="32"/>
        </w:rPr>
      </w:pPr>
      <w:r>
        <w:rPr>
          <w:rFonts w:hint="eastAsia" w:ascii="楷体_GB2312" w:eastAsia="楷体_GB2312" w:cs="楷体_GB2312"/>
          <w:szCs w:val="32"/>
        </w:rPr>
        <w:t>抓关键、提品质，开拓城市治理新局面</w:t>
      </w:r>
    </w:p>
    <w:p>
      <w:pPr>
        <w:pBdr>
          <w:bottom w:val="single" w:color="FFFFFF" w:sz="4" w:space="17"/>
        </w:pBdr>
        <w:ind w:firstLine="640"/>
        <w:rPr>
          <w:rFonts w:cs="仿宋_GB2312"/>
          <w:szCs w:val="32"/>
        </w:rPr>
      </w:pPr>
      <w:r>
        <w:rPr>
          <w:rFonts w:hint="eastAsia" w:cs="仿宋_GB2312"/>
          <w:szCs w:val="32"/>
        </w:rPr>
        <w:t>充分发挥规划的战略引领和刚性管控作用，</w:t>
      </w:r>
      <w:r>
        <w:rPr>
          <w:rFonts w:hint="eastAsia"/>
        </w:rPr>
        <w:t>累计安排</w:t>
      </w:r>
      <w:r>
        <w:rPr>
          <w:rFonts w:hint="eastAsia" w:cs="仿宋_GB2312"/>
          <w:szCs w:val="32"/>
        </w:rPr>
        <w:t>资金</w:t>
      </w:r>
      <w:r>
        <w:rPr>
          <w:rFonts w:hint="eastAsia" w:cs="仿宋_GB2312"/>
          <w:snapToGrid w:val="0"/>
          <w:kern w:val="0"/>
          <w:szCs w:val="32"/>
        </w:rPr>
        <w:t>492.2</w:t>
      </w:r>
      <w:r>
        <w:rPr>
          <w:rFonts w:hint="eastAsia" w:cs="仿宋_GB2312"/>
          <w:szCs w:val="32"/>
        </w:rPr>
        <w:t>亿元，</w:t>
      </w:r>
      <w:r>
        <w:rPr>
          <w:rFonts w:hint="eastAsia"/>
        </w:rPr>
        <w:t>继续支持科技园区建设、重点村庄腾退、南部城市更新、违法建设治理、片区融合、小片平房区改造等工作，精心打造高品质海淀，全力服务保障首都“四个中心”功能建设。</w:t>
      </w:r>
    </w:p>
    <w:p>
      <w:pPr>
        <w:pBdr>
          <w:bottom w:val="single" w:color="FFFFFF" w:sz="4" w:space="17"/>
        </w:pBdr>
        <w:ind w:firstLine="643"/>
        <w:rPr>
          <w:rFonts w:cs="仿宋_GB2312"/>
          <w:szCs w:val="32"/>
        </w:rPr>
      </w:pPr>
      <w:bookmarkStart w:id="9" w:name="OLE_LINK12"/>
      <w:r>
        <w:rPr>
          <w:rFonts w:hint="eastAsia"/>
          <w:b/>
          <w:bCs/>
          <w:kern w:val="0"/>
        </w:rPr>
        <w:t>安排资金410.0亿元，</w:t>
      </w:r>
      <w:r>
        <w:rPr>
          <w:rFonts w:hint="eastAsia" w:cs="仿宋_GB2312"/>
          <w:b/>
          <w:snapToGrid w:val="0"/>
          <w:kern w:val="0"/>
          <w:szCs w:val="32"/>
        </w:rPr>
        <w:t>继续推进中关村科学城建设</w:t>
      </w:r>
      <w:bookmarkEnd w:id="9"/>
      <w:r>
        <w:rPr>
          <w:rFonts w:hint="eastAsia" w:cs="仿宋_GB2312"/>
          <w:b/>
          <w:snapToGrid w:val="0"/>
          <w:kern w:val="0"/>
          <w:szCs w:val="32"/>
        </w:rPr>
        <w:t>。</w:t>
      </w:r>
      <w:bookmarkStart w:id="10" w:name="OLE_LINK22"/>
      <w:r>
        <w:rPr>
          <w:rFonts w:hint="eastAsia" w:cs="仿宋_GB2312"/>
          <w:szCs w:val="32"/>
        </w:rPr>
        <w:t>加快城市化进程，推进中关村科学城北部温泉、白家疃、韩家川等村庄腾退收尾工作，支持安置房建设项目及市政基础设施建设等，适时启动冷泉、屯佃两村腾退。</w:t>
      </w:r>
      <w:r>
        <w:rPr>
          <w:rFonts w:hint="eastAsia" w:hAnsi="仿宋"/>
          <w:color w:val="000000"/>
          <w:szCs w:val="32"/>
          <w:lang w:val="zh-CN"/>
        </w:rPr>
        <w:t>完善城市功能，实现</w:t>
      </w:r>
      <w:r>
        <w:rPr>
          <w:rFonts w:hint="eastAsia" w:cs="仿宋_GB2312"/>
          <w:color w:val="000000"/>
          <w:szCs w:val="32"/>
        </w:rPr>
        <w:t>北部医疗中心、苏家坨中心医院、亮甲店九年一贯制学校等教育、医疗配套设施建设工程完工；</w:t>
      </w:r>
      <w:r>
        <w:rPr>
          <w:rFonts w:hint="eastAsia" w:hAnsi="仿宋"/>
          <w:color w:val="000000"/>
          <w:szCs w:val="32"/>
          <w:lang w:val="zh-CN"/>
        </w:rPr>
        <w:t>研究推动京张铁路遗址公园二期建设，加快实施中关村广场等更新改造；深入推进小片平房区改造，启动实施</w:t>
      </w:r>
      <w:r>
        <w:rPr>
          <w:rFonts w:hint="eastAsia" w:hAnsi="仿宋"/>
          <w:color w:val="000000"/>
          <w:szCs w:val="32"/>
          <w:lang w:val="zh-CN" w:bidi="ar"/>
        </w:rPr>
        <w:t>第一期</w:t>
      </w:r>
      <w:r>
        <w:rPr>
          <w:rFonts w:hint="eastAsia" w:hAnsi="仿宋"/>
          <w:color w:val="000000"/>
          <w:szCs w:val="32"/>
          <w:lang w:bidi="ar"/>
        </w:rPr>
        <w:t>34处</w:t>
      </w:r>
      <w:r>
        <w:rPr>
          <w:rFonts w:hint="eastAsia" w:hAnsi="仿宋"/>
          <w:color w:val="000000"/>
          <w:szCs w:val="32"/>
          <w:lang w:val="zh-CN" w:bidi="ar"/>
        </w:rPr>
        <w:t>项目，不断优化实施路径</w:t>
      </w:r>
      <w:r>
        <w:rPr>
          <w:rFonts w:hint="eastAsia" w:hAnsi="仿宋"/>
          <w:color w:val="000000"/>
          <w:szCs w:val="32"/>
          <w:lang w:val="zh-CN"/>
        </w:rPr>
        <w:t>。</w:t>
      </w:r>
      <w:r>
        <w:rPr>
          <w:rFonts w:hint="eastAsia" w:cs="仿宋_GB2312"/>
          <w:szCs w:val="32"/>
        </w:rPr>
        <w:t>持续推进城市更新，</w:t>
      </w:r>
      <w:r>
        <w:rPr>
          <w:rFonts w:hint="eastAsia" w:hAnsi="仿宋"/>
          <w:color w:val="000000"/>
          <w:szCs w:val="32"/>
          <w:lang w:val="zh-CN"/>
        </w:rPr>
        <w:t>强化片区融合更新，</w:t>
      </w:r>
      <w:r>
        <w:rPr>
          <w:rFonts w:hint="eastAsia" w:cs="仿宋_GB2312"/>
          <w:szCs w:val="32"/>
        </w:rPr>
        <w:t>力争完成党校东一期、二期等项目收尾；适时启动肖家河二期及董四墓腾退工作。</w:t>
      </w:r>
    </w:p>
    <w:p>
      <w:pPr>
        <w:pBdr>
          <w:bottom w:val="single" w:color="FFFFFF" w:sz="4" w:space="17"/>
        </w:pBdr>
        <w:ind w:firstLine="643"/>
        <w:rPr>
          <w:rFonts w:hAnsi="仿宋"/>
          <w:color w:val="000000"/>
          <w:szCs w:val="32"/>
          <w:lang w:val="zh-CN"/>
        </w:rPr>
      </w:pPr>
      <w:r>
        <w:rPr>
          <w:rFonts w:hint="eastAsia"/>
          <w:b/>
          <w:bCs/>
          <w:kern w:val="0"/>
        </w:rPr>
        <w:t>安排资金32.9亿元，</w:t>
      </w:r>
      <w:bookmarkEnd w:id="10"/>
      <w:r>
        <w:rPr>
          <w:rFonts w:hint="eastAsia"/>
          <w:b/>
          <w:bCs/>
          <w:kern w:val="0"/>
          <w:szCs w:val="32"/>
          <w:lang w:bidi="ar"/>
        </w:rPr>
        <w:t>持续提升城市品质。</w:t>
      </w:r>
      <w:r>
        <w:rPr>
          <w:rFonts w:hint="eastAsia"/>
          <w:kern w:val="0"/>
          <w:szCs w:val="32"/>
          <w:lang w:bidi="ar"/>
        </w:rPr>
        <w:t>开展</w:t>
      </w:r>
      <w:r>
        <w:rPr>
          <w:rFonts w:hint="eastAsia" w:hAnsi="仿宋"/>
          <w:color w:val="000000"/>
          <w:szCs w:val="32"/>
          <w:lang w:val="zh-CN"/>
        </w:rPr>
        <w:t>“疏整促”、</w:t>
      </w:r>
      <w:r>
        <w:rPr>
          <w:rFonts w:hint="eastAsia"/>
          <w:kern w:val="0"/>
          <w:szCs w:val="32"/>
          <w:lang w:bidi="ar"/>
        </w:rPr>
        <w:t>市容环境整治专项行动和环境建设项目，一体推进背街小巷精细化整治提升、开墙透绿、揭网见绿、留白增绿、铁路沿线环境整治、重点村环境整治等专项工作，积极开展“无护栏街镇”创建工作，力争全区环境品质得到更大提升；</w:t>
      </w:r>
      <w:r>
        <w:rPr>
          <w:rFonts w:hint="eastAsia" w:hAnsi="仿宋"/>
          <w:bCs/>
          <w:color w:val="000000"/>
          <w:szCs w:val="32"/>
          <w:lang w:val="zh-CN"/>
        </w:rPr>
        <w:t>完善垃圾综合整治“全链条”，优化完善分类投放基础设施，进一步完善全区垃圾回收体系</w:t>
      </w:r>
      <w:r>
        <w:rPr>
          <w:rFonts w:hint="eastAsia" w:hAnsi="仿宋"/>
          <w:bCs/>
          <w:color w:val="000000"/>
          <w:szCs w:val="32"/>
        </w:rPr>
        <w:t>;</w:t>
      </w:r>
      <w:r>
        <w:rPr>
          <w:rFonts w:hint="eastAsia"/>
          <w:kern w:val="0"/>
          <w:szCs w:val="32"/>
          <w:lang w:bidi="ar"/>
        </w:rPr>
        <w:t>提升交通综合治理能力，</w:t>
      </w:r>
      <w:r>
        <w:rPr>
          <w:rFonts w:hint="eastAsia" w:hAnsi="仿宋"/>
          <w:color w:val="000000"/>
          <w:szCs w:val="32"/>
          <w:lang w:val="zh-CN"/>
        </w:rPr>
        <w:t>完善交通路网，推进西三旗村路东段、北清路快速化改造等道路建设，保障12号线建成通车</w:t>
      </w:r>
      <w:r>
        <w:rPr>
          <w:rFonts w:hint="eastAsia"/>
          <w:kern w:val="0"/>
          <w:szCs w:val="32"/>
          <w:lang w:bidi="ar"/>
        </w:rPr>
        <w:t>；</w:t>
      </w:r>
      <w:r>
        <w:rPr>
          <w:rFonts w:hint="eastAsia" w:hAnsi="仿宋"/>
          <w:color w:val="000000"/>
          <w:szCs w:val="32"/>
          <w:lang w:val="zh-CN"/>
        </w:rPr>
        <w:t>加大慢行系统建设和治理力度，规范共享单车管理，构建绿色安全智慧交通出行体系。</w:t>
      </w:r>
      <w:bookmarkStart w:id="11" w:name="OLE_LINK14"/>
    </w:p>
    <w:p>
      <w:pPr>
        <w:pBdr>
          <w:bottom w:val="single" w:color="FFFFFF" w:sz="4" w:space="17"/>
        </w:pBdr>
        <w:ind w:firstLine="643"/>
      </w:pPr>
      <w:r>
        <w:rPr>
          <w:rFonts w:hint="eastAsia"/>
          <w:b/>
          <w:bCs/>
        </w:rPr>
        <w:t>安排资金29.2亿元，推进生态文明建设。</w:t>
      </w:r>
      <w:r>
        <w:rPr>
          <w:rFonts w:hint="eastAsia"/>
        </w:rPr>
        <w:t>实施绿化彩化打造花园城市，坚持山水林田湖草统筹治理，实施水清岸绿、园林彩化等工程，重塑山脊线、山脚线、水岸线、天际线和边界线，构建山水连城、翠海芳淀的生态格局；支持黑山扈沟、圆明园东墙外小微水体改造等生态修复治理、京密引水河湖水系连通改造等工程，建成蓝绿交织、水清岸绿的生态蓝网；持续保障城市公园绿地养护以及附属设施维护，新建一批小微绿地口袋公园等，改善绿色空间质量，巩固国家森林城市创建工作；强化湿地资源监管，深入开展生物多样性保护；统筹做好大气、水、土壤污染防治工作，切实维护生态环境安全；积极创建“两山”实践基地，探索生态产品价值实现机制和路径，将生态优势转化为发展优势，打造践行“两山”理论的海淀样板。</w:t>
      </w:r>
    </w:p>
    <w:p>
      <w:pPr>
        <w:pBdr>
          <w:bottom w:val="single" w:color="FFFFFF" w:sz="4" w:space="17"/>
        </w:pBdr>
        <w:ind w:firstLine="643"/>
        <w:rPr>
          <w:spacing w:val="4"/>
          <w:szCs w:val="32"/>
        </w:rPr>
      </w:pPr>
      <w:r>
        <w:rPr>
          <w:rFonts w:hint="eastAsia"/>
          <w:b/>
          <w:bCs/>
          <w:kern w:val="0"/>
        </w:rPr>
        <w:t>安排资金20.1亿元，</w:t>
      </w:r>
      <w:r>
        <w:rPr>
          <w:rFonts w:hint="eastAsia"/>
          <w:b/>
          <w:bCs/>
          <w:kern w:val="0"/>
          <w:szCs w:val="32"/>
          <w:lang w:bidi="ar"/>
        </w:rPr>
        <w:t>全面推进乡村振兴战略</w:t>
      </w:r>
      <w:bookmarkEnd w:id="11"/>
      <w:r>
        <w:rPr>
          <w:rFonts w:hint="eastAsia"/>
          <w:b/>
          <w:bCs/>
          <w:kern w:val="0"/>
          <w:szCs w:val="32"/>
          <w:lang w:bidi="ar"/>
        </w:rPr>
        <w:t>。</w:t>
      </w:r>
      <w:r>
        <w:rPr>
          <w:rFonts w:hint="eastAsia"/>
          <w:szCs w:val="32"/>
        </w:rPr>
        <w:t>优化调整农业产业资金结构，</w:t>
      </w:r>
      <w:r>
        <w:rPr>
          <w:rFonts w:hint="eastAsia"/>
          <w:spacing w:val="4"/>
          <w:szCs w:val="32"/>
        </w:rPr>
        <w:t>支持海淀农业高质量高标准发展，</w:t>
      </w:r>
      <w:r>
        <w:rPr>
          <w:rFonts w:hint="eastAsia"/>
          <w:szCs w:val="32"/>
        </w:rPr>
        <w:t>通过</w:t>
      </w:r>
      <w:r>
        <w:rPr>
          <w:rFonts w:hint="eastAsia" w:cs="仿宋_GB2312"/>
          <w:szCs w:val="32"/>
        </w:rPr>
        <w:t>设立危旧设施改造专项，改善农业生产条件，设立粮食蔬菜补贴专项，确保粮食蔬菜稳产保供，设立果树产业发展专项，打造标准化、现代化果园，设立新型农业经营主体补贴专项，</w:t>
      </w:r>
      <w:r>
        <w:rPr>
          <w:rFonts w:hint="eastAsia" w:hAnsi="仿宋"/>
          <w:szCs w:val="32"/>
        </w:rPr>
        <w:t>促进农业生产</w:t>
      </w:r>
      <w:r>
        <w:rPr>
          <w:rFonts w:hint="eastAsia" w:cs="仿宋_GB2312"/>
          <w:szCs w:val="32"/>
        </w:rPr>
        <w:t>规模化、产业园区化和经营专业化，</w:t>
      </w:r>
      <w:r>
        <w:rPr>
          <w:rFonts w:hint="eastAsia"/>
          <w:szCs w:val="32"/>
        </w:rPr>
        <w:t>设立</w:t>
      </w:r>
      <w:r>
        <w:rPr>
          <w:rFonts w:hint="eastAsia" w:cs="仿宋_GB2312"/>
          <w:szCs w:val="32"/>
        </w:rPr>
        <w:t>农业科技创新发展专项，推进农业科技成果落地转化，发挥海淀农业科技的示范引领作用</w:t>
      </w:r>
      <w:r>
        <w:rPr>
          <w:rFonts w:hint="eastAsia"/>
          <w:spacing w:val="4"/>
          <w:szCs w:val="32"/>
        </w:rPr>
        <w:t>；</w:t>
      </w:r>
      <w:r>
        <w:rPr>
          <w:rFonts w:hint="eastAsia" w:cs="仿宋_GB2312"/>
          <w:bCs/>
          <w:szCs w:val="32"/>
        </w:rPr>
        <w:t>踏实做好美丽乡村建设工程的收官工作，</w:t>
      </w:r>
      <w:r>
        <w:rPr>
          <w:rFonts w:hint="eastAsia"/>
          <w:spacing w:val="4"/>
          <w:szCs w:val="32"/>
        </w:rPr>
        <w:t>实施标准化管护和基础设施养护，</w:t>
      </w:r>
      <w:r>
        <w:rPr>
          <w:rFonts w:hint="eastAsia" w:cs="仿宋_GB2312"/>
          <w:bCs/>
          <w:szCs w:val="32"/>
        </w:rPr>
        <w:t>巩固美丽乡村建设成果</w:t>
      </w:r>
      <w:r>
        <w:rPr>
          <w:rFonts w:hint="eastAsia"/>
          <w:spacing w:val="4"/>
          <w:szCs w:val="32"/>
        </w:rPr>
        <w:t>，打造宜居宜业的乡村环境；落实整建制农转非政策，提高农村居民社会保障和收入水平，进一步缩小海淀南北差距、加速推动美丽乡村融入中关村科学城建设发展。</w:t>
      </w:r>
    </w:p>
    <w:p>
      <w:pPr>
        <w:numPr>
          <w:ilvl w:val="0"/>
          <w:numId w:val="4"/>
        </w:numPr>
        <w:pBdr>
          <w:bottom w:val="single" w:color="FFFFFF" w:sz="4" w:space="17"/>
        </w:pBdr>
        <w:ind w:firstLine="640"/>
        <w:rPr>
          <w:rFonts w:ascii="楷体_GB2312" w:hAnsi="楷体_GB2312" w:eastAsia="楷体_GB2312" w:cs="楷体_GB2312"/>
          <w:szCs w:val="32"/>
        </w:rPr>
      </w:pPr>
      <w:r>
        <w:rPr>
          <w:rFonts w:hint="eastAsia" w:ascii="楷体_GB2312" w:hAnsi="楷体_GB2312" w:eastAsia="楷体_GB2312" w:cs="楷体_GB2312"/>
          <w:szCs w:val="32"/>
        </w:rPr>
        <w:t>固长项、补短板，满足民生领域新需求</w:t>
      </w:r>
    </w:p>
    <w:p>
      <w:pPr>
        <w:pBdr>
          <w:bottom w:val="single" w:color="FFFFFF" w:sz="4" w:space="17"/>
        </w:pBdr>
        <w:ind w:firstLine="656"/>
        <w:rPr>
          <w:spacing w:val="4"/>
          <w:szCs w:val="32"/>
        </w:rPr>
      </w:pPr>
      <w:r>
        <w:rPr>
          <w:rFonts w:hint="eastAsia"/>
          <w:spacing w:val="4"/>
          <w:szCs w:val="32"/>
        </w:rPr>
        <w:t>牢固树立以人民为中心的发展思想，充分发挥财政职能作用，认真落实保障民生各项政策，累计安排资金376.9亿元，兜牢民生底线，破解民生难题，及时回应群众关切，在高质量发展中推动共同富裕。</w:t>
      </w:r>
    </w:p>
    <w:p>
      <w:pPr>
        <w:pBdr>
          <w:bottom w:val="single" w:color="FFFFFF" w:sz="4" w:space="17"/>
        </w:pBdr>
        <w:ind w:firstLine="643"/>
      </w:pPr>
      <w:bookmarkStart w:id="12" w:name="OLE_LINK17"/>
      <w:bookmarkStart w:id="13" w:name="OLE_LINK15"/>
      <w:r>
        <w:rPr>
          <w:rFonts w:hint="eastAsia"/>
          <w:b/>
          <w:bCs/>
          <w:kern w:val="0"/>
        </w:rPr>
        <w:t>安排资金158.3亿元，</w:t>
      </w:r>
      <w:r>
        <w:rPr>
          <w:rFonts w:hint="eastAsia"/>
          <w:b/>
          <w:bCs/>
        </w:rPr>
        <w:t>支持基础教育高质量发展。</w:t>
      </w:r>
      <w:r>
        <w:rPr>
          <w:rFonts w:hint="eastAsia"/>
        </w:rPr>
        <w:t>进一步摸排需求、扩大试点，全力保障试点通学公交车运行平稳有序，注重文明教育和传统教育，形成具有教育内涵的海淀通学特色；实施学前教育普惠保障行动，统筹资源配置和入园需求变化，探索推进托育服务；实施义务教育强校提质行动，加快办好一批条件较优、质量较高、群众满意的“家门口”新优质学校；实施普通高中内涵建设行动，促进优质多样化特色发展；实施特殊教育学生关爱行动，强化优质融合发展；实施素质教育提升行动，促进学生全面发展；实施高素质教师队伍建设行动，健全教师成长发展体系；实施综合改革攻坚行动，探索教育资产资源共享共用，激发学校办学活力。</w:t>
      </w:r>
    </w:p>
    <w:p>
      <w:pPr>
        <w:pBdr>
          <w:bottom w:val="single" w:color="FFFFFF" w:sz="4" w:space="17"/>
        </w:pBdr>
        <w:ind w:firstLine="643"/>
        <w:rPr>
          <w:rFonts w:cs="仿宋_GB2312"/>
          <w:snapToGrid w:val="0"/>
          <w:kern w:val="0"/>
          <w:szCs w:val="32"/>
        </w:rPr>
      </w:pPr>
      <w:r>
        <w:rPr>
          <w:rFonts w:hint="eastAsia"/>
          <w:b/>
          <w:bCs/>
          <w:kern w:val="0"/>
        </w:rPr>
        <w:t>安排资金143.8亿元，</w:t>
      </w:r>
      <w:r>
        <w:rPr>
          <w:rFonts w:hint="eastAsia"/>
          <w:b/>
          <w:bCs/>
        </w:rPr>
        <w:t>持续健全社保就业体系</w:t>
      </w:r>
      <w:bookmarkEnd w:id="12"/>
      <w:r>
        <w:rPr>
          <w:rFonts w:hint="eastAsia"/>
          <w:b/>
          <w:bCs/>
        </w:rPr>
        <w:t>。</w:t>
      </w:r>
      <w:r>
        <w:rPr>
          <w:rFonts w:hint="eastAsia"/>
        </w:rPr>
        <w:t>更加突出就业优先导向，</w:t>
      </w:r>
      <w:r>
        <w:rPr>
          <w:rFonts w:hint="eastAsia" w:hAnsi="仿宋"/>
          <w:color w:val="000000"/>
          <w:szCs w:val="32"/>
          <w:lang w:val="zh-CN"/>
        </w:rPr>
        <w:t>出台新一轮促进就业政策，多渠道促进就业困难群体就业，</w:t>
      </w:r>
      <w:r>
        <w:rPr>
          <w:rFonts w:hint="eastAsia"/>
        </w:rPr>
        <w:t>促进高质量充分就业，</w:t>
      </w:r>
      <w:r>
        <w:rPr>
          <w:rFonts w:hint="eastAsia" w:hAnsi="仿宋"/>
          <w:bCs/>
          <w:color w:val="000000"/>
          <w:szCs w:val="32"/>
        </w:rPr>
        <w:t>全年城镇登记失业率控制在3.1%以内</w:t>
      </w:r>
      <w:r>
        <w:rPr>
          <w:rFonts w:hint="eastAsia"/>
        </w:rPr>
        <w:t>；加强养老服务体系统筹布局，完善养老服务保障机制，</w:t>
      </w:r>
      <w:r>
        <w:rPr>
          <w:rFonts w:hint="eastAsia" w:cs="仿宋_GB2312"/>
          <w:szCs w:val="32"/>
          <w:lang w:val="zh-CN"/>
        </w:rPr>
        <w:t>推动机构养老服务提质增效；</w:t>
      </w:r>
      <w:r>
        <w:rPr>
          <w:rFonts w:hint="eastAsia" w:hAnsi="仿宋"/>
          <w:color w:val="000000"/>
          <w:szCs w:val="32"/>
          <w:lang w:val="zh-CN"/>
        </w:rPr>
        <w:t>全面构建精准社会救助体系，夯实基本生活救助，</w:t>
      </w:r>
      <w:r>
        <w:rPr>
          <w:rFonts w:hint="eastAsia" w:hAnsi="仿宋"/>
          <w:bCs/>
          <w:color w:val="000000"/>
          <w:szCs w:val="32"/>
          <w:lang w:val="zh-CN"/>
        </w:rPr>
        <w:t>稳步提高各项社保待遇标准，</w:t>
      </w:r>
      <w:r>
        <w:rPr>
          <w:rFonts w:hint="eastAsia" w:hAnsi="仿宋"/>
          <w:color w:val="000000"/>
          <w:szCs w:val="32"/>
          <w:lang w:val="zh-CN"/>
        </w:rPr>
        <w:t>持续提升“弱有所扶”服务水平；</w:t>
      </w:r>
      <w:r>
        <w:rPr>
          <w:rFonts w:hint="eastAsia" w:cs="仿宋_GB2312"/>
          <w:snapToGrid w:val="0"/>
          <w:kern w:val="0"/>
          <w:szCs w:val="32"/>
        </w:rPr>
        <w:t>保障军队移交地方政府人员、退役军人、优抚对象等政策落实，让退役军人获得感成色更足。</w:t>
      </w:r>
    </w:p>
    <w:p>
      <w:pPr>
        <w:pBdr>
          <w:bottom w:val="single" w:color="FFFFFF" w:sz="4" w:space="17"/>
        </w:pBdr>
        <w:ind w:firstLine="643"/>
      </w:pPr>
      <w:bookmarkStart w:id="14" w:name="OLE_LINK19"/>
      <w:r>
        <w:rPr>
          <w:rFonts w:hint="eastAsia"/>
          <w:b/>
          <w:bCs/>
          <w:kern w:val="0"/>
        </w:rPr>
        <w:t>安排资金49.3亿元，</w:t>
      </w:r>
      <w:r>
        <w:rPr>
          <w:rFonts w:hint="eastAsia" w:hAnsi="仿宋"/>
          <w:b/>
          <w:color w:val="000000"/>
          <w:szCs w:val="32"/>
          <w:lang w:val="zh-CN"/>
        </w:rPr>
        <w:t>巩固健康海淀建设成果</w:t>
      </w:r>
      <w:bookmarkEnd w:id="14"/>
      <w:r>
        <w:rPr>
          <w:rFonts w:hint="eastAsia"/>
          <w:b/>
          <w:bCs/>
        </w:rPr>
        <w:t>。</w:t>
      </w:r>
      <w:r>
        <w:rPr>
          <w:rFonts w:hint="eastAsia"/>
        </w:rPr>
        <w:t>继续加强公立医院改革与高质量发展建设，</w:t>
      </w:r>
      <w:r>
        <w:rPr>
          <w:rFonts w:hint="eastAsia" w:cs="仿宋_GB2312"/>
          <w:snapToGrid w:val="0"/>
          <w:kern w:val="0"/>
          <w:szCs w:val="32"/>
        </w:rPr>
        <w:t>推进“三医联动”，推动公立医院人事薪酬制度综合改革，</w:t>
      </w:r>
      <w:r>
        <w:rPr>
          <w:rFonts w:hint="eastAsia"/>
        </w:rPr>
        <w:t>完善全方位、全生命周期健康服务体系；</w:t>
      </w:r>
      <w:r>
        <w:rPr>
          <w:rFonts w:hint="eastAsia" w:cs="仿宋_GB2312"/>
          <w:snapToGrid w:val="0"/>
          <w:kern w:val="0"/>
          <w:szCs w:val="32"/>
        </w:rPr>
        <w:t>优化医疗资源布局，加快推进金隅科技园配套医院等项目建设；加大中医药事业发展力度，深入推进家庭医生签约服务，持续提升群众的获得感；坚持对食品药品等重点领域违法行为应查尽查，切实保障群众饮食用药安全；</w:t>
      </w:r>
      <w:r>
        <w:rPr>
          <w:rFonts w:hint="eastAsia"/>
        </w:rPr>
        <w:t>落实城乡居民基本医疗保险财政补助政策，持续织密医疗保障防护网。</w:t>
      </w:r>
    </w:p>
    <w:p>
      <w:pPr>
        <w:pBdr>
          <w:bottom w:val="single" w:color="FFFFFF" w:sz="4" w:space="17"/>
        </w:pBdr>
        <w:ind w:firstLine="643"/>
        <w:rPr>
          <w:rFonts w:hAnsi="仿宋"/>
          <w:color w:val="000000"/>
          <w:szCs w:val="32"/>
          <w:lang w:val="zh-CN"/>
        </w:rPr>
      </w:pPr>
      <w:bookmarkStart w:id="15" w:name="OLE_LINK20"/>
      <w:r>
        <w:rPr>
          <w:rFonts w:hint="eastAsia"/>
          <w:b/>
          <w:bCs/>
          <w:kern w:val="0"/>
        </w:rPr>
        <w:t>安排资金13.9亿元，</w:t>
      </w:r>
      <w:r>
        <w:rPr>
          <w:rFonts w:hint="eastAsia" w:cs="仿宋_GB2312"/>
          <w:b/>
          <w:szCs w:val="32"/>
        </w:rPr>
        <w:t>改善群众居住条件</w:t>
      </w:r>
      <w:bookmarkEnd w:id="15"/>
      <w:r>
        <w:rPr>
          <w:rFonts w:hint="eastAsia" w:cs="仿宋_GB2312"/>
          <w:b/>
          <w:szCs w:val="32"/>
        </w:rPr>
        <w:t>。</w:t>
      </w:r>
      <w:r>
        <w:rPr>
          <w:rFonts w:hint="eastAsia" w:hAnsi="仿宋"/>
          <w:color w:val="000000"/>
          <w:szCs w:val="32"/>
          <w:lang w:val="zh-CN"/>
        </w:rPr>
        <w:t>拓宽公租房房源筹集渠道，支持趸租安置房源、趸租集体土地租赁住房等渠道，筹措公租房房源，配租公租房4000余套；持续落实公租房租金补贴以及市场租房补贴政策，解决中低收入家庭的住房需求，为11200户符合条件家庭发放公租房补贴和市场租房补贴等；支持老旧小区综合整治，加快推进老楼加装电梯和危旧楼改建，推进鑫德家园、恩济庄82号院改造等央地混合产权老旧小区改造和中关村东区改造工作；巩固提升物业管理长效机制，深化居住小区环境治理和物业服务提升，发挥“社区伙伴行动计划”示范效应，不断提升物业服务管理水平。</w:t>
      </w:r>
    </w:p>
    <w:bookmarkEnd w:id="13"/>
    <w:p>
      <w:pPr>
        <w:pBdr>
          <w:bottom w:val="single" w:color="FFFFFF" w:sz="4" w:space="17"/>
        </w:pBdr>
        <w:spacing w:after="156" w:afterLines="50"/>
        <w:ind w:firstLine="643"/>
        <w:rPr>
          <w:kern w:val="0"/>
        </w:rPr>
      </w:pPr>
      <w:bookmarkStart w:id="16" w:name="OLE_LINK16"/>
      <w:r>
        <w:rPr>
          <w:rFonts w:hint="eastAsia"/>
          <w:b/>
          <w:bCs/>
          <w:kern w:val="0"/>
        </w:rPr>
        <w:t>安排资金11.6亿元，</w:t>
      </w:r>
      <w:bookmarkEnd w:id="16"/>
      <w:r>
        <w:rPr>
          <w:rFonts w:hint="eastAsia"/>
          <w:b/>
          <w:bCs/>
          <w:kern w:val="0"/>
        </w:rPr>
        <w:t>持续释放文化强区新动能。</w:t>
      </w:r>
      <w:r>
        <w:rPr>
          <w:rFonts w:hint="eastAsia"/>
          <w:kern w:val="0"/>
        </w:rPr>
        <w:t>充分挖掘释放红色文化、古都文化、创新文化蕴涵的时代价值，塑造城市精神品格，打造践行习近平文化思想的典范区。</w:t>
      </w:r>
      <w:r>
        <w:rPr>
          <w:rFonts w:hint="eastAsia"/>
        </w:rPr>
        <w:t>依托“海淀宣传”构筑全媒矩阵，为讲好海淀故事、强化思想引领构建联动宣传格局；</w:t>
      </w:r>
      <w:r>
        <w:rPr>
          <w:rFonts w:hint="eastAsia"/>
          <w:kern w:val="0"/>
        </w:rPr>
        <w:t>充分发挥高校等文化资源优势，支持社会力量共建“博物馆之城”，构建文化共同体；巩固三山五园国家文物保护利用示范区建设成果，统筹建好三山五园文化艺术中心、中关村论坛永久会址等，建设一批彰显中关村特色的文化新地标；实施文化惠民工程，丰富高品质公共文化服务供给；持续支持实体书店发展，建设书香海淀；</w:t>
      </w:r>
      <w:r>
        <w:rPr>
          <w:rFonts w:hint="eastAsia"/>
        </w:rPr>
        <w:t>聚焦解决群众“健身去哪儿”难题，支持完善全民健身场地和设施网络；</w:t>
      </w:r>
      <w:r>
        <w:rPr>
          <w:rFonts w:hint="eastAsia"/>
          <w:kern w:val="0"/>
        </w:rPr>
        <w:t>充分发挥文化赋能效应，推进文化与科技、金融、旅游、数字、生态融合发展，培育文化新业态、新场景、新模式，为高质量发展续航新动能。</w:t>
      </w:r>
    </w:p>
    <w:p>
      <w:pPr>
        <w:pStyle w:val="29"/>
        <w:rPr>
          <w:rFonts w:hint="default"/>
          <w:sz w:val="32"/>
          <w:szCs w:val="32"/>
        </w:rPr>
      </w:pPr>
      <w:r>
        <w:rPr>
          <w:sz w:val="32"/>
          <w:szCs w:val="32"/>
        </w:rPr>
        <w:t>第三部分  2024年财政工作措施</w:t>
      </w:r>
    </w:p>
    <w:p>
      <w:pPr>
        <w:ind w:firstLine="640"/>
        <w:rPr>
          <w:rFonts w:ascii="黑体" w:hAnsi="黑体" w:eastAsia="黑体" w:cs="黑体"/>
          <w:kern w:val="0"/>
          <w:szCs w:val="32"/>
        </w:rPr>
      </w:pPr>
    </w:p>
    <w:p>
      <w:pPr>
        <w:ind w:firstLine="640"/>
        <w:rPr>
          <w:rFonts w:ascii="黑体" w:hAnsi="黑体" w:eastAsia="黑体" w:cs="黑体"/>
          <w:kern w:val="0"/>
          <w:szCs w:val="32"/>
        </w:rPr>
      </w:pPr>
      <w:r>
        <w:rPr>
          <w:rFonts w:hint="eastAsia" w:ascii="黑体" w:hAnsi="黑体" w:eastAsia="黑体" w:cs="黑体"/>
          <w:kern w:val="0"/>
          <w:szCs w:val="32"/>
        </w:rPr>
        <w:t>一、抓机制完善，有效激发经济发展动力活力</w:t>
      </w:r>
    </w:p>
    <w:p>
      <w:pPr>
        <w:pStyle w:val="20"/>
        <w:widowControl w:val="0"/>
        <w:overflowPunct w:val="0"/>
        <w:spacing w:before="0" w:beforeAutospacing="0" w:after="0" w:afterAutospacing="0"/>
        <w:ind w:firstLine="643"/>
        <w:jc w:val="both"/>
        <w:rPr>
          <w:rFonts w:hint="eastAsia" w:ascii="仿宋_GB2312" w:hAnsi="仿宋_GB2312" w:eastAsia="仿宋_GB2312" w:cs="仿宋_GB2312"/>
          <w:sz w:val="32"/>
          <w:szCs w:val="32"/>
          <w:lang w:eastAsia="zh-CN"/>
        </w:rPr>
      </w:pPr>
      <w:r>
        <w:rPr>
          <w:rFonts w:hint="eastAsia" w:ascii="仿宋_GB2312" w:hAnsi="仿宋_GB2312" w:cs="仿宋_GB2312"/>
          <w:b/>
          <w:bCs/>
          <w:sz w:val="32"/>
          <w:szCs w:val="32"/>
        </w:rPr>
        <w:t>加强多部门协同稳收入。一是</w:t>
      </w:r>
      <w:r>
        <w:rPr>
          <w:rFonts w:hint="eastAsia" w:ascii="仿宋_GB2312" w:hAnsi="仿宋_GB2312" w:cs="仿宋_GB2312"/>
          <w:sz w:val="32"/>
          <w:szCs w:val="32"/>
        </w:rPr>
        <w:t>强化收入数据动态监测，依托财源数据平台，利用大数据、大模型，了解企业经营状况及困难诉求，多维度分析研判财政收入走势；加强与上级部门及区内各相关部门的沟通对接，理清宏观形势、财税政策、征管方式等方面对财政收入的影响，全面提升收入预测精度。</w:t>
      </w:r>
      <w:r>
        <w:rPr>
          <w:rFonts w:hint="eastAsia" w:ascii="仿宋_GB2312" w:hAnsi="仿宋_GB2312" w:cs="仿宋_GB2312"/>
          <w:b/>
          <w:bCs/>
          <w:sz w:val="32"/>
          <w:szCs w:val="32"/>
        </w:rPr>
        <w:t>二是</w:t>
      </w:r>
      <w:r>
        <w:rPr>
          <w:rFonts w:hint="eastAsia" w:ascii="仿宋_GB2312" w:hAnsi="仿宋_GB2312" w:cs="仿宋_GB2312"/>
          <w:sz w:val="32"/>
          <w:szCs w:val="32"/>
        </w:rPr>
        <w:t>坚持问题导向，</w:t>
      </w:r>
      <w:r>
        <w:rPr>
          <w:rFonts w:hint="eastAsia" w:ascii="仿宋_GB2312" w:hAnsi="仿宋_GB2312" w:cs="仿宋_GB2312"/>
          <w:sz w:val="32"/>
          <w:szCs w:val="32"/>
          <w:lang w:eastAsia="zh-CN"/>
        </w:rPr>
        <w:t>密切跟踪房地产等相关政策和因素对我区土地收入的影响，科学合理安排土地收入计划和土地上市供应节奏，加强土地成本收益管理，确保政府性基金预算收入健康可持续</w:t>
      </w:r>
      <w:r>
        <w:rPr>
          <w:rFonts w:hint="eastAsia" w:ascii="仿宋_GB2312" w:hAnsi="仿宋_GB2312" w:cs="仿宋_GB2312"/>
          <w:sz w:val="32"/>
          <w:szCs w:val="32"/>
        </w:rPr>
        <w:t>。</w:t>
      </w:r>
      <w:r>
        <w:rPr>
          <w:rFonts w:hint="eastAsia" w:ascii="仿宋_GB2312"/>
          <w:b/>
          <w:sz w:val="32"/>
        </w:rPr>
        <w:t>三是</w:t>
      </w:r>
      <w:r>
        <w:rPr>
          <w:rFonts w:hint="eastAsia" w:ascii="仿宋_GB2312"/>
          <w:sz w:val="32"/>
          <w:lang w:eastAsia="zh-CN"/>
        </w:rPr>
        <w:t>持续深化国有企业改革。强化国有资本经营预算功能作用，提高国有资本经营预算对一般公共预算的贡献度。</w:t>
      </w:r>
      <w:bookmarkStart w:id="17" w:name="_GoBack"/>
      <w:bookmarkEnd w:id="17"/>
    </w:p>
    <w:p>
      <w:pPr>
        <w:overflowPunct w:val="0"/>
        <w:ind w:firstLine="643"/>
        <w:rPr>
          <w:rFonts w:cs="仿宋_GB2312"/>
          <w:kern w:val="0"/>
          <w:szCs w:val="32"/>
        </w:rPr>
      </w:pPr>
      <w:r>
        <w:rPr>
          <w:rFonts w:hint="eastAsia" w:cs="仿宋_GB2312"/>
          <w:b/>
          <w:bCs/>
          <w:kern w:val="0"/>
          <w:szCs w:val="32"/>
        </w:rPr>
        <w:t>加大惠企政策支持力度。</w:t>
      </w:r>
      <w:r>
        <w:rPr>
          <w:rFonts w:hint="eastAsia" w:cs="仿宋_GB2312"/>
          <w:kern w:val="0"/>
          <w:szCs w:val="32"/>
        </w:rPr>
        <w:t>坚决落实各项减税降费政策，构建多层次、多维度政策支持体系，聚焦重点产业、重点企业精准施策，打造优质企业梯度培育机制，持续助力市场主体纾困发展。</w:t>
      </w:r>
      <w:r>
        <w:rPr>
          <w:rFonts w:hint="eastAsia" w:cs="仿宋_GB2312"/>
          <w:b/>
          <w:bCs/>
          <w:kern w:val="0"/>
          <w:szCs w:val="32"/>
        </w:rPr>
        <w:t>一是</w:t>
      </w:r>
      <w:r>
        <w:rPr>
          <w:rFonts w:hint="eastAsia" w:cs="仿宋_GB2312"/>
          <w:kern w:val="0"/>
          <w:szCs w:val="32"/>
        </w:rPr>
        <w:t>针对头部企业和科研院所，持续实施“一企一策”，配备服务管家，加强跟踪服务力度，稳定企业长期在区发展；</w:t>
      </w:r>
      <w:r>
        <w:rPr>
          <w:rFonts w:hint="eastAsia" w:cs="仿宋_GB2312"/>
          <w:b/>
          <w:bCs/>
          <w:kern w:val="0"/>
          <w:szCs w:val="32"/>
        </w:rPr>
        <w:t>二是</w:t>
      </w:r>
      <w:r>
        <w:rPr>
          <w:rFonts w:hint="eastAsia" w:cs="仿宋_GB2312"/>
          <w:kern w:val="0"/>
          <w:szCs w:val="32"/>
        </w:rPr>
        <w:t>针对产业链链主企业，利用好政府投资基金，助推企业快速发展，增加企业驻区粘性；</w:t>
      </w:r>
      <w:r>
        <w:rPr>
          <w:rFonts w:hint="eastAsia" w:cs="仿宋_GB2312"/>
          <w:b/>
          <w:bCs/>
          <w:kern w:val="0"/>
          <w:szCs w:val="32"/>
        </w:rPr>
        <w:t>三是</w:t>
      </w:r>
      <w:r>
        <w:rPr>
          <w:rFonts w:hint="eastAsia" w:cs="仿宋_GB2312"/>
          <w:kern w:val="0"/>
          <w:szCs w:val="32"/>
        </w:rPr>
        <w:t>针对高新技术企业，围绕技术研发、成果转化、应用示范等方面出台专项支持政策，加大全要素、全过程、全周期支持力度。</w:t>
      </w:r>
    </w:p>
    <w:p>
      <w:pPr>
        <w:overflowPunct w:val="0"/>
        <w:ind w:firstLine="643"/>
        <w:rPr>
          <w:snapToGrid w:val="0"/>
          <w:kern w:val="0"/>
          <w:szCs w:val="32"/>
        </w:rPr>
      </w:pPr>
      <w:r>
        <w:rPr>
          <w:rFonts w:hint="eastAsia"/>
          <w:b/>
          <w:bCs/>
          <w:snapToGrid w:val="0"/>
          <w:kern w:val="0"/>
          <w:szCs w:val="32"/>
        </w:rPr>
        <w:t>提升财金协同服务能力。一是</w:t>
      </w:r>
      <w:r>
        <w:rPr>
          <w:rFonts w:hint="eastAsia"/>
          <w:snapToGrid w:val="0"/>
          <w:kern w:val="0"/>
          <w:szCs w:val="32"/>
        </w:rPr>
        <w:t>突出政策引导，确保财金协同助企专项行动补贴、创业担保贷款贴息等政策落实，做到“应贷尽贷”“能贷快贷”，提高创业成功率。</w:t>
      </w:r>
      <w:r>
        <w:rPr>
          <w:rFonts w:hint="eastAsia"/>
          <w:b/>
          <w:bCs/>
          <w:snapToGrid w:val="0"/>
          <w:kern w:val="0"/>
          <w:szCs w:val="32"/>
        </w:rPr>
        <w:t>二是</w:t>
      </w:r>
      <w:r>
        <w:rPr>
          <w:rFonts w:hint="eastAsia"/>
          <w:snapToGrid w:val="0"/>
          <w:kern w:val="0"/>
          <w:szCs w:val="32"/>
        </w:rPr>
        <w:t>充分借助金融科技力量，完善财金协同平台建设，推动接入税收、工商等涉企综合运营数据，为企业精准“画像”，为银行尽调提供支撑，进一步提升助贷能力。</w:t>
      </w:r>
      <w:r>
        <w:rPr>
          <w:rFonts w:hint="eastAsia"/>
          <w:b/>
          <w:bCs/>
          <w:snapToGrid w:val="0"/>
          <w:kern w:val="0"/>
          <w:szCs w:val="32"/>
        </w:rPr>
        <w:t>三是</w:t>
      </w:r>
      <w:r>
        <w:rPr>
          <w:rFonts w:hint="eastAsia"/>
          <w:snapToGrid w:val="0"/>
          <w:kern w:val="0"/>
          <w:szCs w:val="32"/>
        </w:rPr>
        <w:t>进一步推进我区国有金融资本管理改革。</w:t>
      </w:r>
    </w:p>
    <w:p>
      <w:pPr>
        <w:overflowPunct w:val="0"/>
        <w:ind w:firstLine="640"/>
        <w:rPr>
          <w:rFonts w:ascii="黑体" w:hAnsi="黑体" w:eastAsia="黑体" w:cs="黑体"/>
          <w:bCs/>
          <w:kern w:val="0"/>
          <w:szCs w:val="32"/>
        </w:rPr>
      </w:pPr>
      <w:r>
        <w:rPr>
          <w:rFonts w:hint="eastAsia" w:ascii="黑体" w:hAnsi="黑体" w:eastAsia="黑体" w:cs="黑体"/>
          <w:bCs/>
          <w:kern w:val="0"/>
          <w:szCs w:val="32"/>
        </w:rPr>
        <w:t>二、抓改革创新，全面提升财政高质量发展水平</w:t>
      </w:r>
    </w:p>
    <w:p>
      <w:pPr>
        <w:pStyle w:val="19"/>
        <w:overflowPunct w:val="0"/>
        <w:ind w:left="0" w:leftChars="0" w:firstLine="643"/>
        <w:rPr>
          <w:sz w:val="32"/>
          <w:szCs w:val="32"/>
        </w:rPr>
      </w:pPr>
      <w:r>
        <w:rPr>
          <w:rFonts w:hint="eastAsia"/>
          <w:b/>
          <w:bCs/>
          <w:sz w:val="32"/>
          <w:szCs w:val="32"/>
        </w:rPr>
        <w:t>树立全区各级领导干部“财政”意识</w:t>
      </w:r>
      <w:r>
        <w:rPr>
          <w:rFonts w:hint="eastAsia"/>
          <w:sz w:val="32"/>
          <w:szCs w:val="32"/>
        </w:rPr>
        <w:t>。加大培训力度，不断提升全区各级领导干部的财政能力，引导各级领导干部牢固树立公共意识、预算意识、绩效意识、风险意识和可持续意识，善于从“财”的视角发现问题、研究问题、解决问题，切实提升本单位、本系统的科学管理水平。</w:t>
      </w:r>
    </w:p>
    <w:p>
      <w:pPr>
        <w:pBdr>
          <w:bottom w:val="single" w:color="FFFFFF" w:sz="4" w:space="16"/>
        </w:pBdr>
        <w:tabs>
          <w:tab w:val="left" w:pos="3038"/>
        </w:tabs>
        <w:overflowPunct w:val="0"/>
        <w:adjustRightInd w:val="0"/>
        <w:snapToGrid w:val="0"/>
        <w:ind w:firstLine="643"/>
        <w:rPr>
          <w:rFonts w:cs="仿宋_GB2312"/>
          <w:szCs w:val="32"/>
        </w:rPr>
      </w:pPr>
      <w:r>
        <w:rPr>
          <w:rFonts w:hint="eastAsia" w:hAnsi="Calibri" w:cs="仿宋_GB2312"/>
          <w:b/>
          <w:szCs w:val="32"/>
        </w:rPr>
        <w:t>更加突出财政绩效导向。</w:t>
      </w:r>
      <w:r>
        <w:rPr>
          <w:rFonts w:hint="eastAsia" w:hAnsi="Calibri" w:cs="仿宋_GB2312"/>
          <w:bCs/>
          <w:szCs w:val="32"/>
        </w:rPr>
        <w:t>让绩效成为预算执行的“牛鼻子”，切实</w:t>
      </w:r>
      <w:r>
        <w:rPr>
          <w:rFonts w:hint="eastAsia" w:cs="仿宋_GB2312"/>
          <w:bCs/>
          <w:kern w:val="0"/>
          <w:szCs w:val="32"/>
        </w:rPr>
        <w:t>发挥牵引作用。</w:t>
      </w:r>
      <w:r>
        <w:rPr>
          <w:rFonts w:hint="eastAsia" w:hAnsi="Calibri" w:cs="仿宋_GB2312"/>
          <w:b/>
          <w:szCs w:val="32"/>
        </w:rPr>
        <w:t>一是</w:t>
      </w:r>
      <w:r>
        <w:rPr>
          <w:rFonts w:hint="eastAsia" w:cs="仿宋_GB2312"/>
          <w:szCs w:val="32"/>
        </w:rPr>
        <w:t>积极开展全过程绩效管理，不断深化事前绩效评估、绩效评价、绩效监控等工作。</w:t>
      </w:r>
      <w:r>
        <w:rPr>
          <w:rFonts w:hint="eastAsia" w:cs="仿宋_GB2312"/>
          <w:b/>
          <w:szCs w:val="32"/>
        </w:rPr>
        <w:t>二是</w:t>
      </w:r>
      <w:r>
        <w:rPr>
          <w:rFonts w:hint="eastAsia" w:cs="仿宋_GB2312"/>
          <w:szCs w:val="32"/>
        </w:rPr>
        <w:t>强化绩效成果应用。将预算安排与事前评估、事后绩效、成本分析等结果挂钩，不断提升财政资金效益。</w:t>
      </w:r>
      <w:r>
        <w:rPr>
          <w:rFonts w:hint="eastAsia" w:cs="仿宋_GB2312"/>
          <w:b/>
          <w:szCs w:val="32"/>
        </w:rPr>
        <w:t>三是</w:t>
      </w:r>
      <w:r>
        <w:rPr>
          <w:rFonts w:hint="eastAsia" w:cs="仿宋_GB2312"/>
          <w:szCs w:val="32"/>
        </w:rPr>
        <w:t>持续推进支出政策绩效评价和成本绩效分析工作。将支出政策的绩效管理理念融入预算管理全过程，探索对支出政策分类分领域评价，突出强调资金投入的整体效益；不断探索全成本预算绩效管理改革的实施路径，切实做到以成本定标准、以标准促改革、以改革提质效，靶向施策、精准投入。</w:t>
      </w:r>
      <w:r>
        <w:rPr>
          <w:rFonts w:hint="eastAsia" w:cs="仿宋_GB2312"/>
          <w:b/>
          <w:szCs w:val="32"/>
        </w:rPr>
        <w:t>四是</w:t>
      </w:r>
      <w:r>
        <w:rPr>
          <w:rFonts w:hint="eastAsia" w:cs="仿宋_GB2312"/>
          <w:szCs w:val="32"/>
        </w:rPr>
        <w:t>开展财政运行情况分析，按照我区财政运行情况的综合绩效评价结果，查漏补缺，不断增强我区财政运行能力。</w:t>
      </w:r>
    </w:p>
    <w:p>
      <w:pPr>
        <w:pBdr>
          <w:bottom w:val="single" w:color="FFFFFF" w:sz="4" w:space="16"/>
        </w:pBdr>
        <w:tabs>
          <w:tab w:val="left" w:pos="3038"/>
        </w:tabs>
        <w:overflowPunct w:val="0"/>
        <w:adjustRightInd w:val="0"/>
        <w:snapToGrid w:val="0"/>
        <w:ind w:firstLine="643"/>
        <w:rPr>
          <w:rFonts w:cs="仿宋_GB2312"/>
          <w:szCs w:val="32"/>
        </w:rPr>
      </w:pPr>
      <w:r>
        <w:rPr>
          <w:rFonts w:hint="eastAsia" w:cs="仿宋_GB2312"/>
          <w:b/>
          <w:bCs/>
          <w:szCs w:val="32"/>
        </w:rPr>
        <w:t>提高街镇管理精细化水平。一是</w:t>
      </w:r>
      <w:r>
        <w:rPr>
          <w:rFonts w:hint="eastAsia" w:cs="仿宋_GB2312"/>
          <w:szCs w:val="32"/>
        </w:rPr>
        <w:t>在优化事权和支出责任的基础上，修订街镇财源建设奖励资金管理办法，街</w:t>
      </w:r>
      <w:r>
        <w:rPr>
          <w:rFonts w:hint="eastAsia" w:hAnsi="Times New Roman"/>
          <w:szCs w:val="32"/>
        </w:rPr>
        <w:t>镇财力进一步突出</w:t>
      </w:r>
      <w:r>
        <w:rPr>
          <w:rFonts w:hint="eastAsia" w:cs="仿宋_GB2312"/>
          <w:szCs w:val="32"/>
        </w:rPr>
        <w:t>“保基本、促发展、调结构、重奖惩”，推动实现基本公共服务水平均等化。</w:t>
      </w:r>
      <w:r>
        <w:rPr>
          <w:rFonts w:hint="eastAsia" w:cs="仿宋_GB2312"/>
          <w:b/>
          <w:bCs/>
          <w:szCs w:val="32"/>
        </w:rPr>
        <w:t>二是</w:t>
      </w:r>
      <w:r>
        <w:rPr>
          <w:rFonts w:hint="eastAsia" w:cs="仿宋_GB2312"/>
          <w:szCs w:val="32"/>
        </w:rPr>
        <w:t>设立专项资金继续支持接诉即办、“大家商量着办”等民生工作创新举措，引导街镇由“主动治理、未诉先办”向“共商共治、不诉自办”深化。</w:t>
      </w:r>
      <w:r>
        <w:rPr>
          <w:rFonts w:hint="eastAsia" w:cs="仿宋_GB2312"/>
          <w:b/>
          <w:bCs/>
          <w:szCs w:val="32"/>
        </w:rPr>
        <w:t>三是</w:t>
      </w:r>
      <w:r>
        <w:rPr>
          <w:rFonts w:hint="eastAsia" w:cs="仿宋_GB2312"/>
          <w:szCs w:val="32"/>
        </w:rPr>
        <w:t>要向村庄腾退、拆违等进入收尾阶段的重点区域倾斜财力。助力香山违建清零，有力提升“一红一绿”环境配套；持续保障党校东、肖家河及董四墓腾退项目，加速推动海淀镇全面实现城市化。</w:t>
      </w:r>
    </w:p>
    <w:p>
      <w:pPr>
        <w:pBdr>
          <w:bottom w:val="single" w:color="FFFFFF" w:sz="4" w:space="16"/>
        </w:pBdr>
        <w:tabs>
          <w:tab w:val="left" w:pos="3038"/>
        </w:tabs>
        <w:overflowPunct w:val="0"/>
        <w:adjustRightInd w:val="0"/>
        <w:snapToGrid w:val="0"/>
        <w:ind w:firstLine="643"/>
        <w:rPr>
          <w:rFonts w:cs="仿宋_GB2312"/>
          <w:bCs/>
          <w:szCs w:val="32"/>
        </w:rPr>
      </w:pPr>
      <w:r>
        <w:rPr>
          <w:rFonts w:hint="eastAsia" w:cs="仿宋_GB2312"/>
          <w:b/>
          <w:szCs w:val="32"/>
        </w:rPr>
        <w:t>推进政府购买服务和委托外包改革。一是</w:t>
      </w:r>
      <w:r>
        <w:rPr>
          <w:rFonts w:hint="eastAsia" w:cs="仿宋_GB2312"/>
          <w:bCs/>
          <w:szCs w:val="32"/>
        </w:rPr>
        <w:t>实现政府购买服务高质高效运行。持续加大重点领域改革力度，逐年完成18个重点领域政府购买服务实施方案出台。指导单位厘清部门履职与购买服务边界，严格执行负面清单。统筹财政审核、监督及绩效力量，坚持信息共享、资源共用、结果运用，提高预算管理的科学化、规范化水平。</w:t>
      </w:r>
      <w:r>
        <w:rPr>
          <w:rFonts w:hint="eastAsia" w:cs="仿宋_GB2312"/>
          <w:b/>
          <w:szCs w:val="32"/>
        </w:rPr>
        <w:t>二是</w:t>
      </w:r>
      <w:r>
        <w:rPr>
          <w:rFonts w:hint="eastAsia" w:cs="仿宋_GB2312"/>
          <w:bCs/>
          <w:szCs w:val="32"/>
        </w:rPr>
        <w:t>推动委托外包落地落实。认真落实市财政局委托外包新要求，健全海淀区委托外包政策体系。严控支出规模，做好存量梳理，梳理完善负面清单建议，推进委托外包闭环管理，节约财政资金。</w:t>
      </w:r>
    </w:p>
    <w:p>
      <w:pPr>
        <w:pBdr>
          <w:bottom w:val="single" w:color="FFFFFF" w:sz="4" w:space="16"/>
        </w:pBdr>
        <w:tabs>
          <w:tab w:val="left" w:pos="3038"/>
        </w:tabs>
        <w:overflowPunct w:val="0"/>
        <w:adjustRightInd w:val="0"/>
        <w:snapToGrid w:val="0"/>
        <w:ind w:firstLine="643"/>
        <w:rPr>
          <w:rFonts w:hAnsi="华文仿宋"/>
          <w:bCs/>
          <w:szCs w:val="32"/>
        </w:rPr>
      </w:pPr>
      <w:r>
        <w:rPr>
          <w:rFonts w:hint="eastAsia" w:hAnsi="华文仿宋"/>
          <w:b/>
          <w:szCs w:val="32"/>
        </w:rPr>
        <w:t>创新财政投入方式。一是</w:t>
      </w:r>
      <w:r>
        <w:rPr>
          <w:rFonts w:hint="eastAsia" w:hAnsi="华文仿宋"/>
          <w:bCs/>
          <w:szCs w:val="32"/>
        </w:rPr>
        <w:t>加强政府投资基金管理，聚力重点产业发展升级，做好项目筛选和储备，积极撬动社会资本，发挥财政资金“四两拨千斤”作用，促进区域高质量发展。</w:t>
      </w:r>
      <w:r>
        <w:rPr>
          <w:rFonts w:hint="eastAsia" w:hAnsi="华文仿宋"/>
          <w:b/>
          <w:szCs w:val="32"/>
        </w:rPr>
        <w:t>二是</w:t>
      </w:r>
      <w:r>
        <w:rPr>
          <w:rFonts w:hint="eastAsia" w:hAnsi="华文仿宋"/>
          <w:bCs/>
          <w:szCs w:val="32"/>
        </w:rPr>
        <w:t>积极发挥市场机制作用，在科研项目、高精尖产业等重点领域加大股权投资力度，探索建立“投入-反哺”长效机制。</w:t>
      </w:r>
      <w:r>
        <w:rPr>
          <w:rFonts w:hint="eastAsia" w:hAnsi="华文仿宋"/>
          <w:b/>
          <w:szCs w:val="32"/>
        </w:rPr>
        <w:t>三是</w:t>
      </w:r>
      <w:r>
        <w:rPr>
          <w:rFonts w:hint="eastAsia" w:hAnsi="华文仿宋"/>
          <w:bCs/>
          <w:szCs w:val="32"/>
        </w:rPr>
        <w:t>在城市更新、住房保障、产业园区等领域，配合研究设计可行的金融支持方式，拓宽资金筹措渠道。</w:t>
      </w:r>
    </w:p>
    <w:p>
      <w:pPr>
        <w:pBdr>
          <w:bottom w:val="single" w:color="FFFFFF" w:sz="4" w:space="16"/>
        </w:pBdr>
        <w:tabs>
          <w:tab w:val="left" w:pos="3038"/>
        </w:tabs>
        <w:overflowPunct w:val="0"/>
        <w:adjustRightInd w:val="0"/>
        <w:snapToGrid w:val="0"/>
        <w:ind w:firstLine="640"/>
        <w:rPr>
          <w:rFonts w:ascii="黑体" w:hAnsi="黑体" w:eastAsia="黑体" w:cs="黑体"/>
          <w:bCs/>
          <w:szCs w:val="32"/>
        </w:rPr>
      </w:pPr>
      <w:r>
        <w:rPr>
          <w:rFonts w:hint="eastAsia" w:ascii="黑体" w:hAnsi="黑体" w:eastAsia="黑体" w:cs="黑体"/>
          <w:szCs w:val="32"/>
        </w:rPr>
        <w:t>三、</w:t>
      </w:r>
      <w:r>
        <w:rPr>
          <w:rFonts w:hint="eastAsia" w:ascii="黑体" w:hAnsi="黑体" w:eastAsia="黑体" w:cs="黑体"/>
          <w:bCs/>
          <w:szCs w:val="32"/>
        </w:rPr>
        <w:t>抓风险防控，着力增强财政可持续能力</w:t>
      </w:r>
    </w:p>
    <w:p>
      <w:pPr>
        <w:pBdr>
          <w:bottom w:val="single" w:color="FFFFFF" w:sz="4" w:space="16"/>
        </w:pBdr>
        <w:tabs>
          <w:tab w:val="left" w:pos="3038"/>
        </w:tabs>
        <w:overflowPunct w:val="0"/>
        <w:adjustRightInd w:val="0"/>
        <w:snapToGrid w:val="0"/>
        <w:ind w:firstLine="643"/>
        <w:rPr>
          <w:szCs w:val="32"/>
        </w:rPr>
      </w:pPr>
      <w:r>
        <w:rPr>
          <w:rFonts w:hint="eastAsia"/>
          <w:b/>
          <w:bCs/>
          <w:szCs w:val="32"/>
        </w:rPr>
        <w:t>全面加强财政统筹平衡发展</w:t>
      </w:r>
      <w:r>
        <w:rPr>
          <w:rFonts w:hint="eastAsia"/>
          <w:szCs w:val="32"/>
        </w:rPr>
        <w:t>。</w:t>
      </w:r>
      <w:r>
        <w:rPr>
          <w:rFonts w:hint="eastAsia"/>
          <w:b/>
          <w:bCs/>
          <w:szCs w:val="32"/>
        </w:rPr>
        <w:t>一是</w:t>
      </w:r>
      <w:r>
        <w:rPr>
          <w:rFonts w:hint="eastAsia"/>
          <w:szCs w:val="32"/>
        </w:rPr>
        <w:t>坚持政府带头过紧日子，持续强化零基预算理念，根据实际工作任务和支出需求，进一步明确预算规模、具体分配和支出结构，切实提升预算编制科学性。</w:t>
      </w:r>
      <w:r>
        <w:rPr>
          <w:rFonts w:hint="eastAsia"/>
          <w:b/>
          <w:bCs/>
          <w:szCs w:val="32"/>
        </w:rPr>
        <w:t>二是</w:t>
      </w:r>
      <w:r>
        <w:rPr>
          <w:rFonts w:hint="eastAsia"/>
          <w:szCs w:val="32"/>
        </w:rPr>
        <w:t>强化支出政策引领作用。对现行支出政策进行评估，健全支出政策科学统筹决策机制，确保财政支出分配始终体现区委区政府的决策部署，实现支出预算、决算与政策目标的有效匹配。</w:t>
      </w:r>
      <w:r>
        <w:rPr>
          <w:rFonts w:hint="eastAsia"/>
          <w:b/>
          <w:szCs w:val="32"/>
        </w:rPr>
        <w:t>三是</w:t>
      </w:r>
      <w:r>
        <w:rPr>
          <w:rFonts w:hint="eastAsia"/>
          <w:szCs w:val="32"/>
        </w:rPr>
        <w:t>建立健全财政承受能力评估机制。出台涉及增加财政支出的重大政策前，按规定进行财政承受能力评估，防止过高承诺、过度保障。</w:t>
      </w:r>
      <w:r>
        <w:rPr>
          <w:rFonts w:hint="eastAsia"/>
          <w:b/>
          <w:szCs w:val="32"/>
        </w:rPr>
        <w:t>四是</w:t>
      </w:r>
      <w:r>
        <w:rPr>
          <w:rFonts w:hint="eastAsia"/>
          <w:szCs w:val="32"/>
        </w:rPr>
        <w:t>加强跨年度预算平衡。将中长期支出事项、跨年度项目等与年度预算加强衔接，合理安排支出时序，确保“当下该办的事”才能当下花钱。</w:t>
      </w:r>
    </w:p>
    <w:p>
      <w:pPr>
        <w:pBdr>
          <w:bottom w:val="single" w:color="FFFFFF" w:sz="4" w:space="16"/>
        </w:pBdr>
        <w:tabs>
          <w:tab w:val="left" w:pos="3038"/>
        </w:tabs>
        <w:overflowPunct w:val="0"/>
        <w:adjustRightInd w:val="0"/>
        <w:snapToGrid w:val="0"/>
        <w:ind w:firstLine="643"/>
        <w:rPr>
          <w:szCs w:val="32"/>
        </w:rPr>
      </w:pPr>
      <w:r>
        <w:rPr>
          <w:rFonts w:hint="eastAsia"/>
          <w:b/>
          <w:bCs/>
          <w:szCs w:val="32"/>
        </w:rPr>
        <w:t>加快推进数字财政发展。一是</w:t>
      </w:r>
      <w:r>
        <w:rPr>
          <w:rFonts w:hint="eastAsia"/>
          <w:szCs w:val="32"/>
        </w:rPr>
        <w:t>建立健全数字财政工作体系，坚持以财政管理改革为先导，以信息化技术为支撑，持续优化完善财政一体化信息管理系统、大数据应用平台、电子票据管理平台，不断提升财政管理应用效能，确保财政业务工作和财政数据的安全稳定运行；</w:t>
      </w:r>
      <w:r>
        <w:rPr>
          <w:rFonts w:hint="eastAsia"/>
          <w:b/>
          <w:bCs/>
          <w:szCs w:val="32"/>
        </w:rPr>
        <w:t>二是</w:t>
      </w:r>
      <w:r>
        <w:rPr>
          <w:rFonts w:hint="eastAsia"/>
          <w:szCs w:val="32"/>
        </w:rPr>
        <w:t>拓展财政大数据应用，通过对财政大数据进行多主题、多层次、多维度的分析利用，进一步提升数字化管理在支撑财政决策、政策落实、管理服务等方面的优势，推动财政数据要素的价值释放。</w:t>
      </w:r>
      <w:r>
        <w:rPr>
          <w:rFonts w:hint="eastAsia"/>
          <w:b/>
          <w:bCs/>
          <w:szCs w:val="32"/>
        </w:rPr>
        <w:t>三是</w:t>
      </w:r>
      <w:r>
        <w:rPr>
          <w:rFonts w:hint="eastAsia"/>
          <w:szCs w:val="32"/>
        </w:rPr>
        <w:t>筑牢财政网络安全防护体系，通过开展网络安全攻防演练、信息系统安全等级保护测评以及密评等工作，有效防范未知风险、挖掘未知漏洞，为财政高质量发展提供安全、快捷、高效的数字化支撑。</w:t>
      </w:r>
    </w:p>
    <w:p>
      <w:pPr>
        <w:pBdr>
          <w:bottom w:val="single" w:color="FFFFFF" w:sz="4" w:space="16"/>
        </w:pBdr>
        <w:tabs>
          <w:tab w:val="left" w:pos="3038"/>
        </w:tabs>
        <w:overflowPunct w:val="0"/>
        <w:adjustRightInd w:val="0"/>
        <w:snapToGrid w:val="0"/>
        <w:ind w:firstLine="643"/>
        <w:rPr>
          <w:rFonts w:hAnsiTheme="minorHAnsi" w:cstheme="minorBidi"/>
          <w:szCs w:val="32"/>
        </w:rPr>
      </w:pPr>
      <w:r>
        <w:rPr>
          <w:rFonts w:hint="eastAsia"/>
          <w:b/>
          <w:bCs/>
          <w:szCs w:val="32"/>
        </w:rPr>
        <w:t>坚决保障财政运行安全。一是</w:t>
      </w:r>
      <w:r>
        <w:rPr>
          <w:rFonts w:hint="eastAsia"/>
          <w:szCs w:val="32"/>
        </w:rPr>
        <w:t>始终将“三保”摆在财政工作的最优先位置，筑牢兜实“三保”底线。</w:t>
      </w:r>
      <w:r>
        <w:rPr>
          <w:rFonts w:hint="eastAsia"/>
          <w:b/>
          <w:bCs/>
          <w:szCs w:val="32"/>
        </w:rPr>
        <w:t>二是</w:t>
      </w:r>
      <w:r>
        <w:rPr>
          <w:rFonts w:hint="eastAsia"/>
          <w:szCs w:val="32"/>
        </w:rPr>
        <w:t>以预算执行动态监控为抓手，进一步压实主体责任，强化预算刚性约束，严格预算审批机制，切实提高财政资金使用效能。</w:t>
      </w:r>
      <w:r>
        <w:rPr>
          <w:rFonts w:hint="eastAsia"/>
          <w:b/>
          <w:bCs/>
          <w:szCs w:val="32"/>
        </w:rPr>
        <w:t>三是</w:t>
      </w:r>
      <w:r>
        <w:rPr>
          <w:rFonts w:hint="eastAsia"/>
          <w:szCs w:val="32"/>
        </w:rPr>
        <w:t>坚决防范债务风险。坚持举债规模与偿债能力相匹配原则，在债务风险绿色区域内，积极争取2024年债券资金助力我区重点项目建设；全力配合政府债务监督工作，通过以督促管、督管结合，进一步提高我区政府债券全过程管理水平</w:t>
      </w:r>
      <w:r>
        <w:rPr>
          <w:rFonts w:hint="eastAsia" w:hAnsiTheme="minorHAnsi" w:cstheme="minorBidi"/>
          <w:szCs w:val="32"/>
        </w:rPr>
        <w:t>。</w:t>
      </w:r>
    </w:p>
    <w:p>
      <w:pPr>
        <w:pBdr>
          <w:bottom w:val="single" w:color="FFFFFF" w:sz="4" w:space="16"/>
        </w:pBdr>
        <w:tabs>
          <w:tab w:val="left" w:pos="3038"/>
        </w:tabs>
        <w:overflowPunct w:val="0"/>
        <w:adjustRightInd w:val="0"/>
        <w:snapToGrid w:val="0"/>
        <w:ind w:firstLine="640"/>
        <w:rPr>
          <w:rFonts w:ascii="黑体" w:hAnsi="黑体" w:eastAsia="黑体" w:cs="黑体"/>
          <w:szCs w:val="32"/>
        </w:rPr>
      </w:pPr>
      <w:r>
        <w:rPr>
          <w:rFonts w:hint="eastAsia" w:ascii="黑体" w:hAnsi="黑体" w:eastAsia="黑体" w:cs="黑体"/>
          <w:szCs w:val="32"/>
        </w:rPr>
        <w:t>四、抓党建引领，不断提升资金监督效力</w:t>
      </w:r>
    </w:p>
    <w:p>
      <w:pPr>
        <w:pBdr>
          <w:bottom w:val="single" w:color="FFFFFF" w:sz="4" w:space="16"/>
        </w:pBdr>
        <w:tabs>
          <w:tab w:val="left" w:pos="3038"/>
        </w:tabs>
        <w:overflowPunct w:val="0"/>
        <w:adjustRightInd w:val="0"/>
        <w:snapToGrid w:val="0"/>
        <w:ind w:firstLine="643"/>
      </w:pPr>
      <w:r>
        <w:rPr>
          <w:rFonts w:hint="eastAsia"/>
          <w:b/>
          <w:bCs/>
          <w:szCs w:val="32"/>
        </w:rPr>
        <w:t>推进全面从严治党。一是</w:t>
      </w:r>
      <w:r>
        <w:rPr>
          <w:rFonts w:hint="eastAsia"/>
          <w:szCs w:val="32"/>
        </w:rPr>
        <w:t>认真贯彻中央、市委、区委关于全面从严治党工作的部署要求，着力巩固拓展主题教育成果，着力落实全面从严治党责任，着力推进党风廉政建设，着力打造高素质专业化财政干部人才队伍。</w:t>
      </w:r>
      <w:r>
        <w:rPr>
          <w:rFonts w:hint="eastAsia"/>
          <w:b/>
          <w:bCs/>
          <w:szCs w:val="32"/>
        </w:rPr>
        <w:t>二是</w:t>
      </w:r>
      <w:r>
        <w:rPr>
          <w:rFonts w:hint="eastAsia"/>
          <w:szCs w:val="32"/>
        </w:rPr>
        <w:t>强化全面从严治党对财政权力运行的制约和监督，综合运用业务日常监管、国库动态监控、财政专项检查、预算管理一体化等手段，</w:t>
      </w:r>
      <w:r>
        <w:rPr>
          <w:rFonts w:hint="eastAsia" w:hAnsi="仿宋"/>
          <w:szCs w:val="32"/>
        </w:rPr>
        <w:t>构建以党内监督为统领，纪检监督、巡查监督、审计监督、财会监督、统计监督五位一体的贯通协同监督体系，</w:t>
      </w:r>
      <w:r>
        <w:rPr>
          <w:rFonts w:hint="eastAsia"/>
          <w:szCs w:val="32"/>
        </w:rPr>
        <w:t>对财政资金实现“穿透式”监管，下好党建业务“一盘棋”。</w:t>
      </w:r>
    </w:p>
    <w:p>
      <w:pPr>
        <w:pBdr>
          <w:bottom w:val="single" w:color="FFFFFF" w:sz="4" w:space="16"/>
        </w:pBdr>
        <w:tabs>
          <w:tab w:val="left" w:pos="3038"/>
        </w:tabs>
        <w:overflowPunct w:val="0"/>
        <w:adjustRightInd w:val="0"/>
        <w:snapToGrid w:val="0"/>
        <w:ind w:firstLine="643"/>
        <w:rPr>
          <w:rFonts w:hAnsi="仿宋"/>
          <w:szCs w:val="32"/>
        </w:rPr>
      </w:pPr>
      <w:r>
        <w:rPr>
          <w:rFonts w:hint="eastAsia"/>
          <w:b/>
          <w:bCs/>
          <w:szCs w:val="32"/>
        </w:rPr>
        <w:t>进一步加强财会监督。一是</w:t>
      </w:r>
      <w:r>
        <w:rPr>
          <w:rFonts w:hint="eastAsia"/>
          <w:szCs w:val="32"/>
        </w:rPr>
        <w:t>加强重点监督，以财政政策执行和市区专项等检查为抓手，不断强化对区属事业单位和企业的财会监督，</w:t>
      </w:r>
      <w:r>
        <w:rPr>
          <w:rFonts w:hint="eastAsia" w:hAnsi="宋体"/>
        </w:rPr>
        <w:t>纠正财会违法行为，维护国家经济秩序。</w:t>
      </w:r>
      <w:r>
        <w:rPr>
          <w:rFonts w:hint="eastAsia" w:hAnsi="宋体"/>
          <w:b/>
          <w:bCs/>
        </w:rPr>
        <w:t>二是</w:t>
      </w:r>
      <w:r>
        <w:rPr>
          <w:rFonts w:hint="eastAsia"/>
          <w:szCs w:val="32"/>
        </w:rPr>
        <w:t>严格落实市区联动专项检查，通过减税降费等专项整治自查、预算执行监督专项行动、三公经费“回头看”等监督检查，进一步严肃财经纪律。</w:t>
      </w:r>
      <w:r>
        <w:rPr>
          <w:rFonts w:hint="eastAsia"/>
          <w:b/>
          <w:bCs/>
          <w:szCs w:val="32"/>
        </w:rPr>
        <w:t>三是</w:t>
      </w:r>
      <w:r>
        <w:rPr>
          <w:rFonts w:hint="eastAsia"/>
          <w:szCs w:val="32"/>
        </w:rPr>
        <w:t>强化财会行业监管，通过对代理记账机构、会计继续教育培训机构等规范检查，进一步提升我区会计行业监督力度。</w:t>
      </w:r>
      <w:r>
        <w:rPr>
          <w:rFonts w:hint="eastAsia"/>
          <w:b/>
          <w:bCs/>
          <w:szCs w:val="32"/>
        </w:rPr>
        <w:t>四是</w:t>
      </w:r>
      <w:r>
        <w:rPr>
          <w:rFonts w:hint="eastAsia"/>
          <w:szCs w:val="32"/>
        </w:rPr>
        <w:t>扩大日常监督范围，不断提升财政监管力度，规范各单位财会管理行为。</w:t>
      </w:r>
      <w:r>
        <w:rPr>
          <w:rFonts w:hint="eastAsia"/>
          <w:b/>
          <w:bCs/>
          <w:szCs w:val="32"/>
        </w:rPr>
        <w:t>五</w:t>
      </w:r>
      <w:r>
        <w:rPr>
          <w:rFonts w:hint="eastAsia" w:hAnsi="宋体"/>
          <w:b/>
          <w:bCs/>
        </w:rPr>
        <w:t>是</w:t>
      </w:r>
      <w:r>
        <w:rPr>
          <w:rFonts w:hint="eastAsia" w:hAnsi="宋体"/>
        </w:rPr>
        <w:t>加强</w:t>
      </w:r>
      <w:r>
        <w:rPr>
          <w:rFonts w:hint="eastAsia"/>
          <w:szCs w:val="32"/>
        </w:rPr>
        <w:t>财政部门内部监督，通过对内部审计、内控专项检查，全面夯实监督工作支点，切实提高财政管理水平。</w:t>
      </w:r>
    </w:p>
    <w:p>
      <w:pPr>
        <w:pBdr>
          <w:bottom w:val="single" w:color="FFFFFF" w:sz="4" w:space="16"/>
        </w:pBdr>
        <w:tabs>
          <w:tab w:val="left" w:pos="3038"/>
        </w:tabs>
        <w:overflowPunct w:val="0"/>
        <w:adjustRightInd w:val="0"/>
        <w:snapToGrid w:val="0"/>
        <w:ind w:firstLine="643"/>
        <w:rPr>
          <w:szCs w:val="32"/>
        </w:rPr>
      </w:pPr>
      <w:r>
        <w:rPr>
          <w:rFonts w:hint="eastAsia"/>
          <w:b/>
          <w:bCs/>
          <w:szCs w:val="32"/>
        </w:rPr>
        <w:t>自觉接受人大、审计等监督。一是</w:t>
      </w:r>
      <w:r>
        <w:rPr>
          <w:rFonts w:hint="eastAsia"/>
          <w:szCs w:val="32"/>
        </w:rPr>
        <w:t>高效凝聚监督合力，认真落实人大预算审查监督要求，推进人大预算联网监督，充分发挥公开效力，将代表意见和建议作为编制年度预算、分配财政资金、制定支出政策的重要参考，推动形成财政管理与人大监督互促共赢的良好局面。</w:t>
      </w:r>
      <w:r>
        <w:rPr>
          <w:rFonts w:hint="eastAsia"/>
          <w:b/>
          <w:bCs/>
          <w:szCs w:val="32"/>
        </w:rPr>
        <w:t>二是</w:t>
      </w:r>
      <w:r>
        <w:rPr>
          <w:rFonts w:hint="eastAsia"/>
          <w:szCs w:val="32"/>
        </w:rPr>
        <w:t>聚焦审计发现问题，建立问题整改台账，全流程跟踪落实，确保整改到位；注重从多发问题中找根源，从典型个案上查风险，有效推动完善制度、堵塞漏洞、防范风险，最大限度发挥审计监督效能。</w:t>
      </w:r>
    </w:p>
    <w:p>
      <w:pPr>
        <w:overflowPunct w:val="0"/>
        <w:ind w:firstLine="640"/>
      </w:pPr>
      <w:r>
        <w:rPr>
          <w:rFonts w:hint="eastAsia"/>
        </w:rPr>
        <w:t>奋楫扬帆正当时，凝心聚力谋新篇！各位代表，做好2024年及今后的财政工作，任务艰巨、责任重大！我们将继续保持永不懈怠的精神状态和一往无前的奋斗姿态，在区委、区政府的坚强领导下，深刻认识“两个确立”的决定性意义，增强“四个意识”、坚定“四个自信”、做到“两个维护”，加快建设现代化强区高品质海淀，当好新时代首都高质量发展的动力源和排头兵，为推进中国式现代化海淀实践作出财政新贡献！</w:t>
      </w: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ind w:firstLine="640"/>
        <w:jc w:val="left"/>
        <w:rPr>
          <w:rFonts w:cs="仿宋_GB2312"/>
          <w:snapToGrid w:val="0"/>
          <w:kern w:val="0"/>
          <w:szCs w:val="32"/>
          <w:highlight w:val="yellow"/>
        </w:rPr>
      </w:pPr>
      <w:r>
        <w:rPr>
          <w:rFonts w:cs="仿宋_GB2312"/>
          <w:snapToGrid w:val="0"/>
          <w:kern w:val="0"/>
          <w:szCs w:val="32"/>
          <w:highlight w:val="yellow"/>
        </w:rPr>
        <w:br w:type="page"/>
      </w: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r>
        <w:rPr>
          <w:highlight w:val="yellow"/>
        </w:rPr>
        <w:drawing>
          <wp:anchor distT="0" distB="0" distL="114300" distR="114300" simplePos="0" relativeHeight="251659264" behindDoc="0" locked="0" layoutInCell="1" allowOverlap="1">
            <wp:simplePos x="0" y="0"/>
            <wp:positionH relativeFrom="column">
              <wp:posOffset>1598295</wp:posOffset>
            </wp:positionH>
            <wp:positionV relativeFrom="paragraph">
              <wp:posOffset>122555</wp:posOffset>
            </wp:positionV>
            <wp:extent cx="2419350" cy="24193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19350" cy="2419350"/>
                    </a:xfrm>
                    <a:prstGeom prst="rect">
                      <a:avLst/>
                    </a:prstGeom>
                    <a:noFill/>
                    <a:ln>
                      <a:noFill/>
                    </a:ln>
                  </pic:spPr>
                </pic:pic>
              </a:graphicData>
            </a:graphic>
          </wp:anchor>
        </w:drawing>
      </w: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cs="仿宋_GB2312"/>
          <w:snapToGrid w:val="0"/>
          <w:kern w:val="0"/>
          <w:szCs w:val="32"/>
          <w:highlight w:val="yellow"/>
        </w:rPr>
      </w:pPr>
    </w:p>
    <w:p>
      <w:pPr>
        <w:pBdr>
          <w:bottom w:val="single" w:color="FFFFFF" w:sz="4" w:space="17"/>
        </w:pBdr>
        <w:tabs>
          <w:tab w:val="left" w:pos="3038"/>
        </w:tabs>
        <w:adjustRightInd w:val="0"/>
        <w:snapToGrid w:val="0"/>
        <w:ind w:firstLine="640"/>
        <w:jc w:val="left"/>
        <w:rPr>
          <w:rFonts w:hAnsi="FZSSK--GBK1-0"/>
          <w:szCs w:val="32"/>
          <w:highlight w:val="yellow"/>
        </w:rPr>
      </w:pPr>
    </w:p>
    <w:p>
      <w:pPr>
        <w:ind w:firstLine="2643" w:firstLineChars="600"/>
        <w:jc w:val="left"/>
        <w:rPr>
          <w:rFonts w:ascii="华文行楷" w:eastAsia="华文行楷"/>
          <w:b/>
          <w:sz w:val="44"/>
          <w:szCs w:val="44"/>
        </w:rPr>
      </w:pPr>
      <w:r>
        <w:rPr>
          <w:rFonts w:hint="eastAsia" w:ascii="华文行楷" w:eastAsia="华文行楷"/>
          <w:b/>
          <w:sz w:val="44"/>
          <w:szCs w:val="44"/>
        </w:rPr>
        <w:t xml:space="preserve">胸怀大局 守正创新 </w:t>
      </w:r>
    </w:p>
    <w:p>
      <w:pPr>
        <w:tabs>
          <w:tab w:val="left" w:pos="3038"/>
        </w:tabs>
        <w:ind w:firstLine="2643" w:firstLineChars="600"/>
        <w:jc w:val="left"/>
        <w:rPr>
          <w:rFonts w:ascii="华文行楷" w:eastAsia="华文行楷"/>
          <w:b/>
          <w:sz w:val="44"/>
          <w:szCs w:val="44"/>
        </w:rPr>
      </w:pPr>
      <w:r>
        <w:rPr>
          <w:rFonts w:hint="eastAsia" w:ascii="华文行楷" w:eastAsia="华文行楷"/>
          <w:b/>
          <w:sz w:val="44"/>
          <w:szCs w:val="44"/>
        </w:rPr>
        <w:t>厚德笃行 精筹为公</w:t>
      </w:r>
    </w:p>
    <w:p>
      <w:pPr>
        <w:pStyle w:val="19"/>
        <w:ind w:left="0" w:leftChars="0" w:firstLine="0" w:firstLineChars="0"/>
        <w:rPr>
          <w:rFonts w:ascii="华文行楷" w:eastAsia="华文行楷"/>
          <w:b/>
          <w:sz w:val="44"/>
          <w:szCs w:val="44"/>
        </w:rPr>
      </w:pPr>
    </w:p>
    <w:p>
      <w:pPr>
        <w:ind w:firstLine="881"/>
        <w:rPr>
          <w:rFonts w:ascii="华文行楷" w:eastAsia="华文行楷"/>
          <w:b/>
          <w:sz w:val="44"/>
          <w:szCs w:val="44"/>
        </w:rPr>
      </w:pPr>
    </w:p>
    <w:p>
      <w:pPr>
        <w:pStyle w:val="19"/>
        <w:ind w:left="5120" w:firstLine="881"/>
        <w:rPr>
          <w:rFonts w:ascii="华文行楷" w:eastAsia="华文行楷"/>
          <w:b/>
          <w:sz w:val="44"/>
          <w:szCs w:val="44"/>
        </w:rPr>
      </w:pPr>
    </w:p>
    <w:p>
      <w:pPr>
        <w:ind w:firstLine="881"/>
        <w:rPr>
          <w:rFonts w:ascii="华文行楷" w:eastAsia="华文行楷"/>
          <w:b/>
          <w:sz w:val="44"/>
          <w:szCs w:val="44"/>
        </w:rPr>
      </w:pPr>
    </w:p>
    <w:p>
      <w:pPr>
        <w:pStyle w:val="19"/>
        <w:ind w:left="5120" w:firstLine="881"/>
        <w:rPr>
          <w:rFonts w:ascii="华文行楷" w:eastAsia="华文行楷"/>
          <w:b/>
          <w:sz w:val="44"/>
          <w:szCs w:val="44"/>
        </w:rPr>
      </w:pPr>
    </w:p>
    <w:p>
      <w:pPr>
        <w:ind w:firstLine="881"/>
        <w:rPr>
          <w:rFonts w:ascii="华文行楷" w:eastAsia="华文行楷"/>
          <w:b/>
          <w:sz w:val="44"/>
          <w:szCs w:val="44"/>
        </w:rPr>
      </w:pPr>
    </w:p>
    <w:p>
      <w:pPr>
        <w:pStyle w:val="19"/>
        <w:ind w:left="5120" w:firstLine="881"/>
        <w:rPr>
          <w:rFonts w:ascii="华文行楷" w:eastAsia="华文行楷"/>
          <w:b/>
          <w:sz w:val="44"/>
          <w:szCs w:val="44"/>
        </w:rPr>
      </w:pPr>
    </w:p>
    <w:p>
      <w:pPr>
        <w:pStyle w:val="19"/>
        <w:ind w:left="0" w:leftChars="0" w:firstLine="0" w:firstLineChars="0"/>
      </w:pPr>
    </w:p>
    <w:sectPr>
      <w:footerReference r:id="rId7" w:type="default"/>
      <w:pgSz w:w="11906" w:h="16838"/>
      <w:pgMar w:top="2098" w:right="1531" w:bottom="1984" w:left="1531" w:header="851" w:footer="1587" w:gutter="0"/>
      <w:pgNumType w:fmt="numberInDash"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ZSSK--GBK1-0">
    <w:altName w:val="Arial Unicode MS"/>
    <w:panose1 w:val="00000000000000000000"/>
    <w:charset w:val="7A"/>
    <w:family w:val="auto"/>
    <w:pitch w:val="default"/>
    <w:sig w:usb0="00000000" w:usb1="00000000" w:usb2="00000000" w:usb3="00000000" w:csb0="0016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48260</wp:posOffset>
              </wp:positionV>
              <wp:extent cx="539750" cy="313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9750" cy="3136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8pt;height:24.7pt;width:42.5pt;mso-position-horizontal:outside;mso-position-horizontal-relative:margin;z-index:251660288;mso-width-relative:page;mso-height-relative:page;" filled="f" stroked="f" coordsize="21600,21600" o:gfxdata="UEsDBAoAAAAAAIdO4kAAAAAAAAAAAAAAAAAEAAAAZHJzL1BLAwQUAAAACACHTuJA4kwdg9MAAAAE&#10;AQAADwAAAGRycy9kb3ducmV2LnhtbE2PyU7EMBBE70j8g9VI3Bg7SLMoxJkDy41tBpDg5sRNEuEl&#10;sjuZ4e9pTnAsVanqVbU9eidmTHmIQUOxUCAwtNEOodPw+nJ3sQGRyQRrXAyo4RszbOvTk8qUNh7C&#10;Duc9dYJLQi6Nhp5oLKXMbY/e5EUcMbD3GZM3xDJ10iZz4HLv5KVSK+nNEHihNyNe99h+7Sevwb3n&#10;dN8o+phvugd6fpLT223xqPX5WaGuQBAe6S8Mv/iMDjUzNXEKNgungY+QhvUKBJubJctGw3KtQNaV&#10;/A9f/wBQSwMEFAAAAAgAh07iQNgNZiwxAgAAVQQAAA4AAABkcnMvZTJvRG9jLnhtbK1UzW4TMRC+&#10;I/EOlu9k86MGGnVThUZBSBWtVBBnx+vNrmR7jO10tzwAvAEnLtx5rj4Hn3ezKRQOPXBxZmfG38z3&#10;eSZn563R7Fb5UJPN+WQ05kxZSUVtdzn/8H7z4hVnIQpbCE1W5fxOBX6+fP7srHELNaWKdKE8A4gN&#10;i8blvIrRLbIsyEoZEUbklEWwJG9ExKffZYUXDdCNzqbj8TxryBfOk1QhwLvug/yA6J8CSGVZS7Um&#10;uTfKxh7VKy0iKIWqdoEvu27LUsl4VZZBRaZzDqaxO1EE9jad2fJMLHZeuKqWhxbEU1p4xMmI2qLo&#10;EWotomB7X/8FZWrpKVAZR5JM1hPpFAGLyfiRNjeVcKrjAqmDO4oe/h+sfHd77Vld5HzKmRUGD37/&#10;7ev995/3P76waZKncWGBrBuHvNi+phZDM/gDnIl1W3qTfsGHIQ5x747iqjYyCefJ7PTlCSISodlk&#10;Nj/txM8eLjsf4htFhiUj5x5v10kqbi9DRCNIHVJSLUubWuvu/bRlTc7nM8D/EcENbXExUehbTVZs&#10;t+2B15aKO9Dy1M9FcHJTo/ilCPFaeAwC+sWqxCscpSYUoYPFWUX+87/8KR/vgyhnDQYr5+HTXnjF&#10;mX5r8XKAjIPhB2M7GHZvLgizOsESOtmZuOCjHszSk/mIDVqlKggJK1Er53EwL2I/3thAqVarLgmz&#10;5kS8tDdOJuhepNU+Ull3yiZZei0OamHaOsEPm5HG+ffvLuvh32D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JMHYPTAAAABAEAAA8AAAAAAAAAAQAgAAAAIgAAAGRycy9kb3ducmV2LnhtbFBLAQIU&#10;ABQAAAAIAIdO4kDYDWYsMQIAAFUEAAAOAAAAAAAAAAEAIAAAACIBAABkcnMvZTJvRG9jLnhtbFBL&#10;BQYAAAAABgAGAFkBAADFBQAAAAA=&#10;">
              <v:fill on="f" focussize="0,0"/>
              <v:stroke on="f" weight="0.5pt"/>
              <v:imagedata o:title=""/>
              <o:lock v:ext="edit" aspectratio="f"/>
              <v:textbox inset="0mm,0mm,0mm,0mm">
                <w:txbxContent>
                  <w:p>
                    <w:pPr>
                      <w:pStyle w:val="14"/>
                      <w:ind w:firstLine="0" w:firstLineChars="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pPr>
        <w:spacing w:line="240" w:lineRule="auto"/>
        <w:ind w:firstLine="640"/>
      </w:pPr>
      <w:r>
        <w:separator/>
      </w:r>
    </w:p>
  </w:footnote>
  <w:footnote w:type="continuationSeparator" w:id="43">
    <w:p>
      <w:pPr>
        <w:spacing w:line="240" w:lineRule="auto"/>
        <w:ind w:firstLine="640"/>
      </w:pPr>
      <w:r>
        <w:continuationSeparator/>
      </w:r>
    </w:p>
  </w:footnote>
  <w:footnote w:id="0">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主要是2023年较2022年区级一般公共预算收入、转移支付收入等规模增加。</w:t>
      </w:r>
    </w:p>
  </w:footnote>
  <w:footnote w:id="1">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其中：专项转移支付收入107.0亿元，一般性转移支付收入133.1亿元。</w:t>
      </w:r>
    </w:p>
  </w:footnote>
  <w:footnote w:id="2">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包括：根据《海淀区国有资本收益上缴公共财政实施方案》（海财企〔2016〕257号）的要求，按30%的比例将当年国有资本经营预算收入10999万元调入一般公共预算；根据《关于海淀区机关事业单位在职职工生育津贴发放工作的通知》（海医保发〔2022〕1号）要求，海淀区机关事业单位将本年收到的在职职工生育津贴3429万元上缴财政，由区财政作为一般公共预算的“调入资金”统筹使用。</w:t>
      </w:r>
    </w:p>
  </w:footnote>
  <w:footnote w:id="3">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由于舍位原因，与实际数据可能存在一定误差。</w:t>
      </w:r>
    </w:p>
  </w:footnote>
  <w:footnote w:id="4">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由于舍位原因，与实际数据可能存在一定误差。</w:t>
      </w:r>
    </w:p>
  </w:footnote>
  <w:footnote w:id="5">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2023年第三次调整预算后预算稳定调节基金余额0.5亿元，此次调入38.8亿元后，2023年底预算稳定调节基金余额预计为39.3亿元。</w:t>
      </w:r>
    </w:p>
  </w:footnote>
  <w:footnote w:id="6">
    <w:p>
      <w:pPr>
        <w:pStyle w:val="18"/>
        <w:spacing w:line="240" w:lineRule="auto"/>
        <w:ind w:firstLine="0" w:firstLineChars="0"/>
        <w:rPr>
          <w:rFonts w:eastAsia="宋体"/>
          <w:kern w:val="2"/>
          <w:highlight w:val="yellow"/>
          <w:lang w:val="en-US"/>
        </w:rPr>
      </w:pPr>
      <w:r>
        <w:rPr>
          <w:rFonts w:hint="eastAsia" w:eastAsia="宋体"/>
          <w:kern w:val="2"/>
          <w:lang w:val="en-US"/>
        </w:rPr>
        <w:footnoteRef/>
      </w:r>
      <w:r>
        <w:rPr>
          <w:rFonts w:hint="eastAsia" w:eastAsia="宋体"/>
          <w:kern w:val="2"/>
          <w:lang w:val="en-US"/>
        </w:rPr>
        <w:t xml:space="preserve"> 受供地项目进展、市级统筹安排土地成本返还节奏的影响，我区2022年国有土地使用权出让收入规模较小。</w:t>
      </w:r>
    </w:p>
  </w:footnote>
  <w:footnote w:id="7">
    <w:p>
      <w:pPr>
        <w:pStyle w:val="18"/>
        <w:spacing w:line="240" w:lineRule="auto"/>
        <w:ind w:firstLine="0" w:firstLineChars="0"/>
        <w:rPr>
          <w:rFonts w:eastAsia="宋体"/>
          <w:kern w:val="2"/>
          <w:highlight w:val="yellow"/>
          <w:lang w:val="en-US"/>
        </w:rPr>
      </w:pPr>
      <w:r>
        <w:rPr>
          <w:rFonts w:hint="eastAsia" w:eastAsia="宋体"/>
          <w:kern w:val="2"/>
          <w:lang w:val="en-US"/>
        </w:rPr>
        <w:footnoteRef/>
      </w:r>
      <w:r>
        <w:rPr>
          <w:rFonts w:hint="eastAsia" w:eastAsia="宋体"/>
          <w:kern w:val="2"/>
          <w:lang w:val="en-US"/>
        </w:rPr>
        <w:t xml:space="preserve"> 主要是根据企业实际经营状况，以及部分一次性因素，年间波动性较大。</w:t>
      </w:r>
    </w:p>
  </w:footnote>
  <w:footnote w:id="8">
    <w:p>
      <w:pPr>
        <w:pStyle w:val="18"/>
        <w:spacing w:line="240" w:lineRule="auto"/>
        <w:ind w:firstLine="0" w:firstLineChars="0"/>
        <w:rPr>
          <w:rFonts w:eastAsia="宋体"/>
          <w:kern w:val="2"/>
          <w:highlight w:val="yellow"/>
          <w:lang w:val="en-US"/>
        </w:rPr>
      </w:pPr>
      <w:r>
        <w:rPr>
          <w:rFonts w:hint="eastAsia" w:eastAsia="宋体"/>
          <w:kern w:val="2"/>
          <w:lang w:val="en-US"/>
        </w:rPr>
        <w:footnoteRef/>
      </w:r>
      <w:r>
        <w:rPr>
          <w:rFonts w:hint="eastAsia" w:eastAsia="宋体"/>
          <w:kern w:val="2"/>
          <w:lang w:val="en-US"/>
        </w:rPr>
        <w:t xml:space="preserve"> 主要是受企业处置股权等一次性因素影响及部分企业经营发展超预期所致。</w:t>
      </w:r>
    </w:p>
  </w:footnote>
  <w:footnote w:id="9">
    <w:p>
      <w:pPr>
        <w:pStyle w:val="18"/>
        <w:spacing w:line="240" w:lineRule="auto"/>
        <w:ind w:firstLine="0" w:firstLineChars="0"/>
        <w:rPr>
          <w:rFonts w:eastAsia="宋体"/>
          <w:kern w:val="2"/>
          <w:highlight w:val="yellow"/>
          <w:lang w:val="en-US"/>
        </w:rPr>
      </w:pPr>
      <w:r>
        <w:rPr>
          <w:rFonts w:hint="eastAsia" w:eastAsia="宋体"/>
          <w:kern w:val="2"/>
          <w:lang w:val="en-US"/>
        </w:rPr>
        <w:footnoteRef/>
      </w:r>
      <w:r>
        <w:rPr>
          <w:rFonts w:hint="eastAsia" w:eastAsia="宋体"/>
          <w:kern w:val="2"/>
          <w:lang w:val="en-US"/>
        </w:rPr>
        <w:t xml:space="preserve"> 主要是养老助餐服务补贴项目根据实际进展情况，部分资金结转至2024年支付。</w:t>
      </w:r>
    </w:p>
  </w:footnote>
  <w:footnote w:id="10">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再融资债券（包括一般债券和专项债券）是为偿还部分到期地方政府债券本金而发行募集的债券。</w:t>
      </w:r>
    </w:p>
  </w:footnote>
  <w:footnote w:id="11">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法定债务率=当年债务余额/当年综合财力</w:t>
      </w:r>
    </w:p>
  </w:footnote>
  <w:footnote w:id="12">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安排数与预计拨付数存在一定差异主要是：部分项目未按原计划实施，我区根据单位项目建设进度拨付资金。</w:t>
      </w:r>
    </w:p>
  </w:footnote>
  <w:footnote w:id="13">
    <w:p>
      <w:pPr>
        <w:pStyle w:val="18"/>
        <w:spacing w:line="240" w:lineRule="auto"/>
        <w:ind w:firstLine="0" w:firstLineChars="0"/>
        <w:rPr>
          <w:rFonts w:hint="eastAsia" w:eastAsia="宋体"/>
          <w:kern w:val="2"/>
          <w:lang w:val="en-US"/>
        </w:rPr>
      </w:pPr>
      <w:r>
        <w:rPr>
          <w:rFonts w:eastAsia="宋体"/>
          <w:kern w:val="2"/>
          <w:lang w:val="en-US"/>
        </w:rPr>
        <w:footnoteRef/>
      </w:r>
      <w:r>
        <w:rPr>
          <w:rFonts w:hint="eastAsia" w:eastAsia="宋体"/>
          <w:kern w:val="2"/>
          <w:lang w:val="en-US"/>
        </w:rPr>
        <w:t xml:space="preserve"> 综合考虑当前宏观经济形势、国家财税政策、疫情防控转段后市场主体经营活跃度回升趋势以及区级增值税、企业所得税、土地增值税等重点税种预期涨幅等因素，</w:t>
      </w:r>
      <w:r>
        <w:rPr>
          <w:rFonts w:eastAsia="宋体"/>
          <w:kern w:val="2"/>
          <w:lang w:val="en-US"/>
        </w:rPr>
        <w:t>2024年区级一般公共预算收入增幅预计完成5.0%。</w:t>
      </w:r>
    </w:p>
  </w:footnote>
  <w:footnote w:id="14">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其中：一般性转移支付收入130.5亿元，专项转移支付收入16.5亿元。</w:t>
      </w:r>
    </w:p>
  </w:footnote>
  <w:footnote w:id="15">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包括：根据《海淀区国有资本收益上缴公共财政实施方案》（海财企〔2016〕257号）的要求，按30%的比例将当年国有资本经营预算收入4634万元调入一般公共预算；根据《关于海淀区机关事业单位在职职工生育津贴发放工作的通知》（海医保发〔2022〕1号）要求，海淀区机关事业单位在职职工生育津贴预计2000万元，由区财政作为一般公共预算的“调入资金”统筹使用。</w:t>
      </w:r>
    </w:p>
  </w:footnote>
  <w:footnote w:id="16">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2023年底预算稳定调节基金余额预计为39.3亿元，此次动用27.3亿元后，2024年初预算稳定调节基金余额预计为12.0亿元。</w:t>
      </w:r>
    </w:p>
  </w:footnote>
  <w:footnote w:id="17">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由于舍位原因，与实际数据可能存在一定误差。</w:t>
      </w:r>
    </w:p>
  </w:footnote>
  <w:footnote w:id="18">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其中：因公出国（境）费与上年持平；公务接待费与上年持平；公车运行维护费5699万元，同比减少0.02%；公车购置费2003万元，与上年持平。</w:t>
      </w:r>
    </w:p>
  </w:footnote>
  <w:footnote w:id="19">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受全市土地管理整体调控的影响，2024年土地上市规模和支出规模不确定性因素较多。</w:t>
      </w:r>
    </w:p>
  </w:footnote>
  <w:footnote w:id="20">
    <w:p>
      <w:pPr>
        <w:pStyle w:val="18"/>
        <w:spacing w:line="240" w:lineRule="auto"/>
        <w:ind w:firstLine="0" w:firstLineChars="0"/>
        <w:rPr>
          <w:rFonts w:eastAsia="宋体"/>
          <w:kern w:val="2"/>
          <w:lang w:val="en-US"/>
        </w:rPr>
      </w:pPr>
      <w:r>
        <w:rPr>
          <w:rFonts w:hint="eastAsia" w:eastAsia="宋体"/>
          <w:kern w:val="2"/>
          <w:lang w:val="en-US"/>
        </w:rPr>
        <w:footnoteRef/>
      </w:r>
      <w:r>
        <w:rPr>
          <w:rFonts w:hint="eastAsia" w:eastAsia="宋体"/>
          <w:kern w:val="2"/>
          <w:lang w:val="en-US"/>
        </w:rPr>
        <w:t xml:space="preserve"> 受国有企业股权转让等一次性因素影响，上年收入完成情况较好，导致同期基数较高。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1A488"/>
    <w:multiLevelType w:val="singleLevel"/>
    <w:tmpl w:val="8BB1A488"/>
    <w:lvl w:ilvl="0" w:tentative="0">
      <w:start w:val="2"/>
      <w:numFmt w:val="chineseCounting"/>
      <w:suff w:val="nothing"/>
      <w:lvlText w:val="（%1）"/>
      <w:lvlJc w:val="left"/>
      <w:rPr>
        <w:rFonts w:hint="eastAsia"/>
      </w:rPr>
    </w:lvl>
  </w:abstractNum>
  <w:abstractNum w:abstractNumId="1">
    <w:nsid w:val="AA574B3E"/>
    <w:multiLevelType w:val="singleLevel"/>
    <w:tmpl w:val="AA574B3E"/>
    <w:lvl w:ilvl="0" w:tentative="0">
      <w:start w:val="3"/>
      <w:numFmt w:val="chineseCounting"/>
      <w:suff w:val="nothing"/>
      <w:lvlText w:val="%1、"/>
      <w:lvlJc w:val="left"/>
      <w:rPr>
        <w:rFonts w:hint="eastAsia"/>
      </w:rPr>
    </w:lvl>
  </w:abstractNum>
  <w:abstractNum w:abstractNumId="2">
    <w:nsid w:val="D17656C8"/>
    <w:multiLevelType w:val="singleLevel"/>
    <w:tmpl w:val="D17656C8"/>
    <w:lvl w:ilvl="0" w:tentative="0">
      <w:start w:val="1"/>
      <w:numFmt w:val="chineseCounting"/>
      <w:suff w:val="nothing"/>
      <w:lvlText w:val="（%1）"/>
      <w:lvlJc w:val="left"/>
      <w:rPr>
        <w:rFonts w:hint="eastAsia"/>
      </w:rPr>
    </w:lvl>
  </w:abstractNum>
  <w:abstractNum w:abstractNumId="3">
    <w:nsid w:val="38BEE445"/>
    <w:multiLevelType w:val="singleLevel"/>
    <w:tmpl w:val="38BEE445"/>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hideSpellingErrors/>
  <w:hideGrammaticalErrors/>
  <w:documentProtection w:enforcement="0"/>
  <w:defaultTabStop w:val="420"/>
  <w:doNotHyphenateCaps/>
  <w:drawingGridVerticalSpacing w:val="219"/>
  <w:displayVerticalDrawingGridEvery w:val="2"/>
  <w:noPunctuationKerning w:val="1"/>
  <w:characterSpacingControl w:val="compressPunctuation"/>
  <w:noLineBreaksAfter w:lang="zh-CN" w:val="$([{£¥·‘“〈《「『【〔〖〝﹙﹛﹝＄（．［｛￡￥"/>
  <w:noLineBreaksBefore w:lang="zh-CN" w:val="!%),.:;&gt;?]}¢¨°·ˇˉ―‖’”…‰′″›℃∶、。〃〉》」』】〕〗〞︶︺︾﹀﹄﹚﹜﹞！＂％＇），．：；？］｀｜｝～￠"/>
  <w:doNotValidateAgainstSchema/>
  <w:doNotDemarcateInvalidXml/>
  <w:footnotePr>
    <w:footnote w:id="42"/>
    <w:footnote w:id="4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WJiZjhhMmM5OGE0MTc5MTIxNjNiZWE2ODkxZjIifQ=="/>
  </w:docVars>
  <w:rsids>
    <w:rsidRoot w:val="00A43828"/>
    <w:rsid w:val="000B2F20"/>
    <w:rsid w:val="00101623"/>
    <w:rsid w:val="00121F1D"/>
    <w:rsid w:val="00197CB8"/>
    <w:rsid w:val="001F5444"/>
    <w:rsid w:val="002A37D5"/>
    <w:rsid w:val="002F1E5B"/>
    <w:rsid w:val="00335F57"/>
    <w:rsid w:val="00336663"/>
    <w:rsid w:val="00361B01"/>
    <w:rsid w:val="004F2710"/>
    <w:rsid w:val="005A6523"/>
    <w:rsid w:val="00656AB2"/>
    <w:rsid w:val="006A023E"/>
    <w:rsid w:val="00793C03"/>
    <w:rsid w:val="007B6A57"/>
    <w:rsid w:val="00847367"/>
    <w:rsid w:val="008760ED"/>
    <w:rsid w:val="008E7C76"/>
    <w:rsid w:val="0092667C"/>
    <w:rsid w:val="00A2219A"/>
    <w:rsid w:val="00A25177"/>
    <w:rsid w:val="00A41E1A"/>
    <w:rsid w:val="00A43828"/>
    <w:rsid w:val="00A74799"/>
    <w:rsid w:val="00B036AE"/>
    <w:rsid w:val="00B60984"/>
    <w:rsid w:val="00B655B7"/>
    <w:rsid w:val="00BC7757"/>
    <w:rsid w:val="00C524EA"/>
    <w:rsid w:val="00C82B44"/>
    <w:rsid w:val="00CC45CD"/>
    <w:rsid w:val="00CF64E1"/>
    <w:rsid w:val="00DF677C"/>
    <w:rsid w:val="00E3646C"/>
    <w:rsid w:val="00E73B88"/>
    <w:rsid w:val="00EE29BD"/>
    <w:rsid w:val="00F42DD7"/>
    <w:rsid w:val="00FA4DA7"/>
    <w:rsid w:val="00FF0714"/>
    <w:rsid w:val="010377BE"/>
    <w:rsid w:val="01042CD0"/>
    <w:rsid w:val="010C4460"/>
    <w:rsid w:val="01160E54"/>
    <w:rsid w:val="011E1648"/>
    <w:rsid w:val="011E1AE4"/>
    <w:rsid w:val="01306A1A"/>
    <w:rsid w:val="014454C4"/>
    <w:rsid w:val="014A5E2B"/>
    <w:rsid w:val="014B38AD"/>
    <w:rsid w:val="015157B6"/>
    <w:rsid w:val="01521C8D"/>
    <w:rsid w:val="01542E56"/>
    <w:rsid w:val="01553E2C"/>
    <w:rsid w:val="01654456"/>
    <w:rsid w:val="016F12B3"/>
    <w:rsid w:val="017C0395"/>
    <w:rsid w:val="01823A06"/>
    <w:rsid w:val="01853F5F"/>
    <w:rsid w:val="018E3F20"/>
    <w:rsid w:val="01980129"/>
    <w:rsid w:val="01A52CC1"/>
    <w:rsid w:val="01BC3DA3"/>
    <w:rsid w:val="01C71790"/>
    <w:rsid w:val="01D42461"/>
    <w:rsid w:val="01D91895"/>
    <w:rsid w:val="01DC2B81"/>
    <w:rsid w:val="01EA46B0"/>
    <w:rsid w:val="01EF437A"/>
    <w:rsid w:val="01EF43BB"/>
    <w:rsid w:val="01F178BE"/>
    <w:rsid w:val="01F2753D"/>
    <w:rsid w:val="01F561BC"/>
    <w:rsid w:val="01FA494A"/>
    <w:rsid w:val="01FD58CF"/>
    <w:rsid w:val="0203305B"/>
    <w:rsid w:val="020866C9"/>
    <w:rsid w:val="020F0FB8"/>
    <w:rsid w:val="02247376"/>
    <w:rsid w:val="02277569"/>
    <w:rsid w:val="022A4754"/>
    <w:rsid w:val="023128A5"/>
    <w:rsid w:val="02316129"/>
    <w:rsid w:val="02335DA9"/>
    <w:rsid w:val="023E79BD"/>
    <w:rsid w:val="023F763D"/>
    <w:rsid w:val="024263C3"/>
    <w:rsid w:val="02436043"/>
    <w:rsid w:val="02444E5B"/>
    <w:rsid w:val="024824CB"/>
    <w:rsid w:val="024D21D6"/>
    <w:rsid w:val="02510BDC"/>
    <w:rsid w:val="025E466E"/>
    <w:rsid w:val="025F20F0"/>
    <w:rsid w:val="02607B71"/>
    <w:rsid w:val="028213AB"/>
    <w:rsid w:val="02863634"/>
    <w:rsid w:val="02903F44"/>
    <w:rsid w:val="02A163DC"/>
    <w:rsid w:val="02A67BEC"/>
    <w:rsid w:val="02B475FB"/>
    <w:rsid w:val="02BD682A"/>
    <w:rsid w:val="02CB2AA4"/>
    <w:rsid w:val="02DC2D3E"/>
    <w:rsid w:val="02E45BCC"/>
    <w:rsid w:val="02ED0A5A"/>
    <w:rsid w:val="02F17460"/>
    <w:rsid w:val="03093C85"/>
    <w:rsid w:val="030E6A10"/>
    <w:rsid w:val="031D702B"/>
    <w:rsid w:val="032F2286"/>
    <w:rsid w:val="033546D2"/>
    <w:rsid w:val="03477E6F"/>
    <w:rsid w:val="034E307D"/>
    <w:rsid w:val="034F527C"/>
    <w:rsid w:val="03514002"/>
    <w:rsid w:val="03516419"/>
    <w:rsid w:val="03533C82"/>
    <w:rsid w:val="0365741F"/>
    <w:rsid w:val="037441B6"/>
    <w:rsid w:val="0378063E"/>
    <w:rsid w:val="037D4AC6"/>
    <w:rsid w:val="03870342"/>
    <w:rsid w:val="038F4AD6"/>
    <w:rsid w:val="03913766"/>
    <w:rsid w:val="03921B3D"/>
    <w:rsid w:val="039446EB"/>
    <w:rsid w:val="03A731BE"/>
    <w:rsid w:val="03AC7B94"/>
    <w:rsid w:val="03B216A2"/>
    <w:rsid w:val="03B438D1"/>
    <w:rsid w:val="03C40ABE"/>
    <w:rsid w:val="03C97144"/>
    <w:rsid w:val="03CA29C7"/>
    <w:rsid w:val="03D06ACE"/>
    <w:rsid w:val="03D609D8"/>
    <w:rsid w:val="03F12886"/>
    <w:rsid w:val="03FE1B9C"/>
    <w:rsid w:val="040E0D93"/>
    <w:rsid w:val="04177243"/>
    <w:rsid w:val="041D42E4"/>
    <w:rsid w:val="04216DD6"/>
    <w:rsid w:val="042948F2"/>
    <w:rsid w:val="04296264"/>
    <w:rsid w:val="043B6BC3"/>
    <w:rsid w:val="044319E6"/>
    <w:rsid w:val="0444488F"/>
    <w:rsid w:val="04460E6B"/>
    <w:rsid w:val="045028A0"/>
    <w:rsid w:val="04510321"/>
    <w:rsid w:val="04623E3F"/>
    <w:rsid w:val="046D6604"/>
    <w:rsid w:val="047D246A"/>
    <w:rsid w:val="048A1780"/>
    <w:rsid w:val="049F3D1A"/>
    <w:rsid w:val="04AB5538"/>
    <w:rsid w:val="04AC5B51"/>
    <w:rsid w:val="04B7134B"/>
    <w:rsid w:val="04B73549"/>
    <w:rsid w:val="04C824C5"/>
    <w:rsid w:val="04CB21E9"/>
    <w:rsid w:val="04D5637C"/>
    <w:rsid w:val="04E81B1A"/>
    <w:rsid w:val="04EB6322"/>
    <w:rsid w:val="04EE64A8"/>
    <w:rsid w:val="04F546B3"/>
    <w:rsid w:val="04F71ED5"/>
    <w:rsid w:val="04F77BB6"/>
    <w:rsid w:val="04FC403D"/>
    <w:rsid w:val="050723CE"/>
    <w:rsid w:val="050D2831"/>
    <w:rsid w:val="05183DDF"/>
    <w:rsid w:val="052460FB"/>
    <w:rsid w:val="052F7D10"/>
    <w:rsid w:val="053E2528"/>
    <w:rsid w:val="05487DE8"/>
    <w:rsid w:val="054D2B43"/>
    <w:rsid w:val="05590B54"/>
    <w:rsid w:val="055A1E59"/>
    <w:rsid w:val="05781409"/>
    <w:rsid w:val="057F5510"/>
    <w:rsid w:val="05852C9D"/>
    <w:rsid w:val="0587039E"/>
    <w:rsid w:val="058A1323"/>
    <w:rsid w:val="058A7125"/>
    <w:rsid w:val="05980638"/>
    <w:rsid w:val="059B6FA0"/>
    <w:rsid w:val="059E5880"/>
    <w:rsid w:val="059E7538"/>
    <w:rsid w:val="05A60C53"/>
    <w:rsid w:val="05AA7659"/>
    <w:rsid w:val="05B272AB"/>
    <w:rsid w:val="05C36005"/>
    <w:rsid w:val="05CC560F"/>
    <w:rsid w:val="05D94925"/>
    <w:rsid w:val="05E337FC"/>
    <w:rsid w:val="05E661B9"/>
    <w:rsid w:val="05EE4EDE"/>
    <w:rsid w:val="05EF1040"/>
    <w:rsid w:val="06092B94"/>
    <w:rsid w:val="060A2EF6"/>
    <w:rsid w:val="0620509A"/>
    <w:rsid w:val="06212B1B"/>
    <w:rsid w:val="0623601E"/>
    <w:rsid w:val="062A342B"/>
    <w:rsid w:val="063475BD"/>
    <w:rsid w:val="064B71E3"/>
    <w:rsid w:val="06525ABB"/>
    <w:rsid w:val="06661F8B"/>
    <w:rsid w:val="066F069C"/>
    <w:rsid w:val="067D1690"/>
    <w:rsid w:val="068176BD"/>
    <w:rsid w:val="068E3E81"/>
    <w:rsid w:val="069B0266"/>
    <w:rsid w:val="06A64F55"/>
    <w:rsid w:val="06B3208A"/>
    <w:rsid w:val="06B3590D"/>
    <w:rsid w:val="06BD041B"/>
    <w:rsid w:val="06C45BA7"/>
    <w:rsid w:val="06C70D2A"/>
    <w:rsid w:val="06CB7731"/>
    <w:rsid w:val="06D074D1"/>
    <w:rsid w:val="06E3065B"/>
    <w:rsid w:val="06ED47ED"/>
    <w:rsid w:val="070B4DB8"/>
    <w:rsid w:val="070D3A1D"/>
    <w:rsid w:val="070F49A2"/>
    <w:rsid w:val="07190B35"/>
    <w:rsid w:val="072239C3"/>
    <w:rsid w:val="07241C47"/>
    <w:rsid w:val="07277E4A"/>
    <w:rsid w:val="072B53F3"/>
    <w:rsid w:val="07436F9B"/>
    <w:rsid w:val="074D2288"/>
    <w:rsid w:val="0750320D"/>
    <w:rsid w:val="075176D6"/>
    <w:rsid w:val="075220F4"/>
    <w:rsid w:val="075668C0"/>
    <w:rsid w:val="07641EAE"/>
    <w:rsid w:val="076B50BC"/>
    <w:rsid w:val="076E6040"/>
    <w:rsid w:val="0776344D"/>
    <w:rsid w:val="078021BE"/>
    <w:rsid w:val="07837045"/>
    <w:rsid w:val="07890DE8"/>
    <w:rsid w:val="078E5270"/>
    <w:rsid w:val="078F56F0"/>
    <w:rsid w:val="07937179"/>
    <w:rsid w:val="079F6DB0"/>
    <w:rsid w:val="07A66E8D"/>
    <w:rsid w:val="07AF6AAA"/>
    <w:rsid w:val="07BE7D13"/>
    <w:rsid w:val="07CE18DD"/>
    <w:rsid w:val="07D102E3"/>
    <w:rsid w:val="07EC690F"/>
    <w:rsid w:val="07ED23E6"/>
    <w:rsid w:val="07F339B8"/>
    <w:rsid w:val="08220DBE"/>
    <w:rsid w:val="082B15CF"/>
    <w:rsid w:val="082F4DFA"/>
    <w:rsid w:val="083060E4"/>
    <w:rsid w:val="08313B80"/>
    <w:rsid w:val="083B668E"/>
    <w:rsid w:val="0843731D"/>
    <w:rsid w:val="0844151C"/>
    <w:rsid w:val="084B6928"/>
    <w:rsid w:val="085A794B"/>
    <w:rsid w:val="087864F3"/>
    <w:rsid w:val="087C0A29"/>
    <w:rsid w:val="088C5193"/>
    <w:rsid w:val="08986A51"/>
    <w:rsid w:val="08B35053"/>
    <w:rsid w:val="08BF0E65"/>
    <w:rsid w:val="08C40B70"/>
    <w:rsid w:val="08D771A0"/>
    <w:rsid w:val="08DD3C99"/>
    <w:rsid w:val="08EA14B6"/>
    <w:rsid w:val="08EC4CCD"/>
    <w:rsid w:val="08F316BF"/>
    <w:rsid w:val="08F4788D"/>
    <w:rsid w:val="08FA104A"/>
    <w:rsid w:val="090360D7"/>
    <w:rsid w:val="091B0441"/>
    <w:rsid w:val="091D5621"/>
    <w:rsid w:val="091F5D22"/>
    <w:rsid w:val="092F499C"/>
    <w:rsid w:val="093830AD"/>
    <w:rsid w:val="09396779"/>
    <w:rsid w:val="09490DC9"/>
    <w:rsid w:val="094913D6"/>
    <w:rsid w:val="09503FD7"/>
    <w:rsid w:val="09507B5E"/>
    <w:rsid w:val="09611CF3"/>
    <w:rsid w:val="09631973"/>
    <w:rsid w:val="09670057"/>
    <w:rsid w:val="096E5786"/>
    <w:rsid w:val="09700C89"/>
    <w:rsid w:val="09826059"/>
    <w:rsid w:val="098D0910"/>
    <w:rsid w:val="098E0239"/>
    <w:rsid w:val="098F153E"/>
    <w:rsid w:val="099346C1"/>
    <w:rsid w:val="09947D69"/>
    <w:rsid w:val="09991E4D"/>
    <w:rsid w:val="09AD70E1"/>
    <w:rsid w:val="09B5177D"/>
    <w:rsid w:val="09B671FF"/>
    <w:rsid w:val="09BB3687"/>
    <w:rsid w:val="09C162C7"/>
    <w:rsid w:val="09C51A18"/>
    <w:rsid w:val="09CD35A1"/>
    <w:rsid w:val="09DA28B7"/>
    <w:rsid w:val="09DB613A"/>
    <w:rsid w:val="09DF25C2"/>
    <w:rsid w:val="09DF6D3E"/>
    <w:rsid w:val="09E047C0"/>
    <w:rsid w:val="09E85450"/>
    <w:rsid w:val="09EC23D5"/>
    <w:rsid w:val="0A072481"/>
    <w:rsid w:val="0A183A20"/>
    <w:rsid w:val="0A295EB9"/>
    <w:rsid w:val="0A35218B"/>
    <w:rsid w:val="0A397A24"/>
    <w:rsid w:val="0A3D4B5A"/>
    <w:rsid w:val="0A4B76F2"/>
    <w:rsid w:val="0A721B30"/>
    <w:rsid w:val="0A7E6C48"/>
    <w:rsid w:val="0A9123E5"/>
    <w:rsid w:val="0A921B67"/>
    <w:rsid w:val="0A962768"/>
    <w:rsid w:val="0A9B4EF3"/>
    <w:rsid w:val="0AA10FBC"/>
    <w:rsid w:val="0AA20101"/>
    <w:rsid w:val="0AAE1995"/>
    <w:rsid w:val="0AAF107A"/>
    <w:rsid w:val="0AB6351E"/>
    <w:rsid w:val="0ABA1F25"/>
    <w:rsid w:val="0ACA5A42"/>
    <w:rsid w:val="0ACC0F45"/>
    <w:rsid w:val="0AF201B7"/>
    <w:rsid w:val="0B0645A2"/>
    <w:rsid w:val="0B067E26"/>
    <w:rsid w:val="0B0B42AD"/>
    <w:rsid w:val="0B0E5232"/>
    <w:rsid w:val="0B102933"/>
    <w:rsid w:val="0B104F32"/>
    <w:rsid w:val="0B1D41C8"/>
    <w:rsid w:val="0B331BEE"/>
    <w:rsid w:val="0B335CF7"/>
    <w:rsid w:val="0B410F04"/>
    <w:rsid w:val="0B506FA0"/>
    <w:rsid w:val="0B5346A2"/>
    <w:rsid w:val="0B680DC4"/>
    <w:rsid w:val="0B832C72"/>
    <w:rsid w:val="0B8A2AEF"/>
    <w:rsid w:val="0B95098E"/>
    <w:rsid w:val="0BDB1103"/>
    <w:rsid w:val="0BE36945"/>
    <w:rsid w:val="0BF17A23"/>
    <w:rsid w:val="0BF30382"/>
    <w:rsid w:val="0BF603A6"/>
    <w:rsid w:val="0BFB2F87"/>
    <w:rsid w:val="0BFB6BAE"/>
    <w:rsid w:val="0C0B3E50"/>
    <w:rsid w:val="0C103E4C"/>
    <w:rsid w:val="0C1069CD"/>
    <w:rsid w:val="0C2427FC"/>
    <w:rsid w:val="0C2839BC"/>
    <w:rsid w:val="0C360518"/>
    <w:rsid w:val="0C3D20A1"/>
    <w:rsid w:val="0C480432"/>
    <w:rsid w:val="0C4E77CA"/>
    <w:rsid w:val="0C5B44A8"/>
    <w:rsid w:val="0C66480D"/>
    <w:rsid w:val="0C710369"/>
    <w:rsid w:val="0C717078"/>
    <w:rsid w:val="0C7D670E"/>
    <w:rsid w:val="0C817312"/>
    <w:rsid w:val="0C832E23"/>
    <w:rsid w:val="0C8A21A0"/>
    <w:rsid w:val="0C911B2B"/>
    <w:rsid w:val="0C961836"/>
    <w:rsid w:val="0C973A34"/>
    <w:rsid w:val="0C996F37"/>
    <w:rsid w:val="0CA63114"/>
    <w:rsid w:val="0CAD7C14"/>
    <w:rsid w:val="0CB32CC6"/>
    <w:rsid w:val="0CB67FDA"/>
    <w:rsid w:val="0CCB0A0B"/>
    <w:rsid w:val="0CDD4C69"/>
    <w:rsid w:val="0CE23EB3"/>
    <w:rsid w:val="0CF2414E"/>
    <w:rsid w:val="0CF672D1"/>
    <w:rsid w:val="0D22141A"/>
    <w:rsid w:val="0D2C3F28"/>
    <w:rsid w:val="0D3D123F"/>
    <w:rsid w:val="0D444E52"/>
    <w:rsid w:val="0D475DD6"/>
    <w:rsid w:val="0D494B5D"/>
    <w:rsid w:val="0D521BE9"/>
    <w:rsid w:val="0D53546C"/>
    <w:rsid w:val="0D5A2878"/>
    <w:rsid w:val="0D6C0594"/>
    <w:rsid w:val="0D70010A"/>
    <w:rsid w:val="0D734D05"/>
    <w:rsid w:val="0D7D2A2D"/>
    <w:rsid w:val="0D811433"/>
    <w:rsid w:val="0D8B77C4"/>
    <w:rsid w:val="0D984ECC"/>
    <w:rsid w:val="0DA46379"/>
    <w:rsid w:val="0DB05806"/>
    <w:rsid w:val="0DB17A04"/>
    <w:rsid w:val="0DB75190"/>
    <w:rsid w:val="0DBB3B97"/>
    <w:rsid w:val="0DBD342C"/>
    <w:rsid w:val="0DBF479B"/>
    <w:rsid w:val="0DC331A1"/>
    <w:rsid w:val="0DC71BA8"/>
    <w:rsid w:val="0DC839BC"/>
    <w:rsid w:val="0DCA2B2C"/>
    <w:rsid w:val="0DCB4DF2"/>
    <w:rsid w:val="0DE6245C"/>
    <w:rsid w:val="0DE7757C"/>
    <w:rsid w:val="0DF91B72"/>
    <w:rsid w:val="0DFA10FD"/>
    <w:rsid w:val="0E026509"/>
    <w:rsid w:val="0E0C044D"/>
    <w:rsid w:val="0E121632"/>
    <w:rsid w:val="0E131FE0"/>
    <w:rsid w:val="0E1806AD"/>
    <w:rsid w:val="0E1A576C"/>
    <w:rsid w:val="0E270CC8"/>
    <w:rsid w:val="0E420B8F"/>
    <w:rsid w:val="0E43308A"/>
    <w:rsid w:val="0E583695"/>
    <w:rsid w:val="0E755AFF"/>
    <w:rsid w:val="0E7B0752"/>
    <w:rsid w:val="0E7D3C55"/>
    <w:rsid w:val="0E7F4BD9"/>
    <w:rsid w:val="0E887A67"/>
    <w:rsid w:val="0E935DF8"/>
    <w:rsid w:val="0E9512FB"/>
    <w:rsid w:val="0E9534FA"/>
    <w:rsid w:val="0EA0188B"/>
    <w:rsid w:val="0EA3280F"/>
    <w:rsid w:val="0EA53794"/>
    <w:rsid w:val="0EB74750"/>
    <w:rsid w:val="0EC15643"/>
    <w:rsid w:val="0EC17841"/>
    <w:rsid w:val="0ECF36FB"/>
    <w:rsid w:val="0EF24390"/>
    <w:rsid w:val="0F01062B"/>
    <w:rsid w:val="0F142FC9"/>
    <w:rsid w:val="0F2130DE"/>
    <w:rsid w:val="0F271A3D"/>
    <w:rsid w:val="0F2F36F8"/>
    <w:rsid w:val="0F3B1939"/>
    <w:rsid w:val="0F4A1D24"/>
    <w:rsid w:val="0F5116AE"/>
    <w:rsid w:val="0F66165C"/>
    <w:rsid w:val="0F6E31DD"/>
    <w:rsid w:val="0F796FF0"/>
    <w:rsid w:val="0F7A2873"/>
    <w:rsid w:val="0F7B4AA5"/>
    <w:rsid w:val="0F8D2F8A"/>
    <w:rsid w:val="0F9B0829"/>
    <w:rsid w:val="0FA7463C"/>
    <w:rsid w:val="0FBA585B"/>
    <w:rsid w:val="0FC151E5"/>
    <w:rsid w:val="0FC40621"/>
    <w:rsid w:val="0FC803F4"/>
    <w:rsid w:val="0FD12B25"/>
    <w:rsid w:val="0FDC7E43"/>
    <w:rsid w:val="0FE4669F"/>
    <w:rsid w:val="0FF36CB9"/>
    <w:rsid w:val="0FF74205"/>
    <w:rsid w:val="0FFD1702"/>
    <w:rsid w:val="101C207C"/>
    <w:rsid w:val="101D58FF"/>
    <w:rsid w:val="102079FC"/>
    <w:rsid w:val="10242D0C"/>
    <w:rsid w:val="102D2316"/>
    <w:rsid w:val="10322021"/>
    <w:rsid w:val="10337AA3"/>
    <w:rsid w:val="10352FA6"/>
    <w:rsid w:val="10362C26"/>
    <w:rsid w:val="104C2755"/>
    <w:rsid w:val="105B53E4"/>
    <w:rsid w:val="10687DDF"/>
    <w:rsid w:val="10695804"/>
    <w:rsid w:val="10763A0F"/>
    <w:rsid w:val="10817822"/>
    <w:rsid w:val="10881C14"/>
    <w:rsid w:val="108C5939"/>
    <w:rsid w:val="108D6EB8"/>
    <w:rsid w:val="10992CCA"/>
    <w:rsid w:val="109B03CC"/>
    <w:rsid w:val="10A854E3"/>
    <w:rsid w:val="10AE53F9"/>
    <w:rsid w:val="10B10371"/>
    <w:rsid w:val="10CA3499"/>
    <w:rsid w:val="10D0112F"/>
    <w:rsid w:val="10DA1F7A"/>
    <w:rsid w:val="10E43A7A"/>
    <w:rsid w:val="10E74FC8"/>
    <w:rsid w:val="10F231CF"/>
    <w:rsid w:val="10F816A0"/>
    <w:rsid w:val="10FC746E"/>
    <w:rsid w:val="11026E77"/>
    <w:rsid w:val="11067A7B"/>
    <w:rsid w:val="110E3E23"/>
    <w:rsid w:val="11110DFB"/>
    <w:rsid w:val="111A451D"/>
    <w:rsid w:val="11205CEE"/>
    <w:rsid w:val="11265A40"/>
    <w:rsid w:val="114143DD"/>
    <w:rsid w:val="11516BF6"/>
    <w:rsid w:val="11526943"/>
    <w:rsid w:val="116369AF"/>
    <w:rsid w:val="1168209E"/>
    <w:rsid w:val="116C2CA3"/>
    <w:rsid w:val="11794537"/>
    <w:rsid w:val="118252E8"/>
    <w:rsid w:val="1184614B"/>
    <w:rsid w:val="119463E5"/>
    <w:rsid w:val="11A26319"/>
    <w:rsid w:val="11AB1672"/>
    <w:rsid w:val="11B95320"/>
    <w:rsid w:val="11C36D8F"/>
    <w:rsid w:val="11C833BC"/>
    <w:rsid w:val="11D3174D"/>
    <w:rsid w:val="11D85BD5"/>
    <w:rsid w:val="11D87DD3"/>
    <w:rsid w:val="11DC0C6C"/>
    <w:rsid w:val="11E85CAC"/>
    <w:rsid w:val="120F6F6B"/>
    <w:rsid w:val="12176A5E"/>
    <w:rsid w:val="121A2ABF"/>
    <w:rsid w:val="121A7943"/>
    <w:rsid w:val="122C2897"/>
    <w:rsid w:val="12385D22"/>
    <w:rsid w:val="123C01CE"/>
    <w:rsid w:val="123C2076"/>
    <w:rsid w:val="123D5579"/>
    <w:rsid w:val="124B488F"/>
    <w:rsid w:val="1266673E"/>
    <w:rsid w:val="126B2BC5"/>
    <w:rsid w:val="1275033E"/>
    <w:rsid w:val="127F50E9"/>
    <w:rsid w:val="12841571"/>
    <w:rsid w:val="128F7902"/>
    <w:rsid w:val="12900868"/>
    <w:rsid w:val="12905F07"/>
    <w:rsid w:val="12A82585"/>
    <w:rsid w:val="12A904AC"/>
    <w:rsid w:val="12AD10B0"/>
    <w:rsid w:val="12AE4934"/>
    <w:rsid w:val="12C022CF"/>
    <w:rsid w:val="12C46AD7"/>
    <w:rsid w:val="12C754DE"/>
    <w:rsid w:val="12C82F5F"/>
    <w:rsid w:val="12C97B2F"/>
    <w:rsid w:val="12CB3EE4"/>
    <w:rsid w:val="12D139EB"/>
    <w:rsid w:val="12E93494"/>
    <w:rsid w:val="12EC50F4"/>
    <w:rsid w:val="12F37627"/>
    <w:rsid w:val="12FC46B3"/>
    <w:rsid w:val="13177405"/>
    <w:rsid w:val="13232374"/>
    <w:rsid w:val="132632F9"/>
    <w:rsid w:val="132809FA"/>
    <w:rsid w:val="1328343B"/>
    <w:rsid w:val="133F1DBD"/>
    <w:rsid w:val="134306AA"/>
    <w:rsid w:val="134B0934"/>
    <w:rsid w:val="13567491"/>
    <w:rsid w:val="13715421"/>
    <w:rsid w:val="13773FFC"/>
    <w:rsid w:val="137A4F81"/>
    <w:rsid w:val="1380270E"/>
    <w:rsid w:val="138A301D"/>
    <w:rsid w:val="139C67BB"/>
    <w:rsid w:val="13BC4629"/>
    <w:rsid w:val="13D42D18"/>
    <w:rsid w:val="13E3112D"/>
    <w:rsid w:val="13F10443"/>
    <w:rsid w:val="14037464"/>
    <w:rsid w:val="140609D8"/>
    <w:rsid w:val="14075E6A"/>
    <w:rsid w:val="14100CF8"/>
    <w:rsid w:val="14143273"/>
    <w:rsid w:val="14195A45"/>
    <w:rsid w:val="14196AC8"/>
    <w:rsid w:val="141E5A8F"/>
    <w:rsid w:val="14264B3E"/>
    <w:rsid w:val="1427091D"/>
    <w:rsid w:val="1431122C"/>
    <w:rsid w:val="145A2D69"/>
    <w:rsid w:val="145D0DF7"/>
    <w:rsid w:val="14671706"/>
    <w:rsid w:val="14687188"/>
    <w:rsid w:val="146C3610"/>
    <w:rsid w:val="147F2631"/>
    <w:rsid w:val="14856738"/>
    <w:rsid w:val="14861CDF"/>
    <w:rsid w:val="1489513E"/>
    <w:rsid w:val="148F28CB"/>
    <w:rsid w:val="149434CF"/>
    <w:rsid w:val="1495148E"/>
    <w:rsid w:val="14965B7F"/>
    <w:rsid w:val="149B69F8"/>
    <w:rsid w:val="14A20267"/>
    <w:rsid w:val="14A35840"/>
    <w:rsid w:val="14A511EB"/>
    <w:rsid w:val="14A84743"/>
    <w:rsid w:val="14BE4314"/>
    <w:rsid w:val="14BF0C39"/>
    <w:rsid w:val="14CC6EAC"/>
    <w:rsid w:val="14CD410F"/>
    <w:rsid w:val="14D91C80"/>
    <w:rsid w:val="14E70D5B"/>
    <w:rsid w:val="14E82F59"/>
    <w:rsid w:val="14EB7761"/>
    <w:rsid w:val="14F334DA"/>
    <w:rsid w:val="14F63574"/>
    <w:rsid w:val="14F67130"/>
    <w:rsid w:val="15023B03"/>
    <w:rsid w:val="15052509"/>
    <w:rsid w:val="15082937"/>
    <w:rsid w:val="150F669C"/>
    <w:rsid w:val="1513181F"/>
    <w:rsid w:val="151421E5"/>
    <w:rsid w:val="1515616B"/>
    <w:rsid w:val="153450AA"/>
    <w:rsid w:val="15412179"/>
    <w:rsid w:val="154F7486"/>
    <w:rsid w:val="15572111"/>
    <w:rsid w:val="15584512"/>
    <w:rsid w:val="157C124F"/>
    <w:rsid w:val="157C59CB"/>
    <w:rsid w:val="15811E53"/>
    <w:rsid w:val="159759FC"/>
    <w:rsid w:val="15A25C0B"/>
    <w:rsid w:val="15AF07A4"/>
    <w:rsid w:val="15AF4F21"/>
    <w:rsid w:val="15B25EA5"/>
    <w:rsid w:val="15B55D11"/>
    <w:rsid w:val="15B83632"/>
    <w:rsid w:val="15C319C3"/>
    <w:rsid w:val="15C471A6"/>
    <w:rsid w:val="15DD7FEE"/>
    <w:rsid w:val="15E45152"/>
    <w:rsid w:val="15EC1502"/>
    <w:rsid w:val="15F26C8F"/>
    <w:rsid w:val="15FF5772"/>
    <w:rsid w:val="160A61D1"/>
    <w:rsid w:val="16197E6B"/>
    <w:rsid w:val="161A7E53"/>
    <w:rsid w:val="161F0A58"/>
    <w:rsid w:val="16317A78"/>
    <w:rsid w:val="1632283F"/>
    <w:rsid w:val="163E350B"/>
    <w:rsid w:val="16414490"/>
    <w:rsid w:val="165247B2"/>
    <w:rsid w:val="167304E2"/>
    <w:rsid w:val="16757268"/>
    <w:rsid w:val="167E7B78"/>
    <w:rsid w:val="16A909BC"/>
    <w:rsid w:val="16A92BBA"/>
    <w:rsid w:val="16B25A48"/>
    <w:rsid w:val="16D24ABC"/>
    <w:rsid w:val="16E340AB"/>
    <w:rsid w:val="16E939A4"/>
    <w:rsid w:val="16ED23AA"/>
    <w:rsid w:val="16F43BD2"/>
    <w:rsid w:val="16F87F17"/>
    <w:rsid w:val="16FA16C0"/>
    <w:rsid w:val="16FB6BF7"/>
    <w:rsid w:val="170809D5"/>
    <w:rsid w:val="1716356E"/>
    <w:rsid w:val="1719707D"/>
    <w:rsid w:val="171D097B"/>
    <w:rsid w:val="171D7580"/>
    <w:rsid w:val="172A040E"/>
    <w:rsid w:val="173F1176"/>
    <w:rsid w:val="1744663C"/>
    <w:rsid w:val="174817BF"/>
    <w:rsid w:val="174A0545"/>
    <w:rsid w:val="174D14CA"/>
    <w:rsid w:val="1767588B"/>
    <w:rsid w:val="17687AF5"/>
    <w:rsid w:val="17692FF8"/>
    <w:rsid w:val="176B64FB"/>
    <w:rsid w:val="1776488C"/>
    <w:rsid w:val="177E68DF"/>
    <w:rsid w:val="178847A7"/>
    <w:rsid w:val="179F31CD"/>
    <w:rsid w:val="17A675DA"/>
    <w:rsid w:val="17AA1863"/>
    <w:rsid w:val="17C206B2"/>
    <w:rsid w:val="17C3498C"/>
    <w:rsid w:val="17CD2BA4"/>
    <w:rsid w:val="17D96B2F"/>
    <w:rsid w:val="17DC4231"/>
    <w:rsid w:val="17EE79CE"/>
    <w:rsid w:val="17F45DAB"/>
    <w:rsid w:val="180472E2"/>
    <w:rsid w:val="18166994"/>
    <w:rsid w:val="181B2E1C"/>
    <w:rsid w:val="181C2A9C"/>
    <w:rsid w:val="182249A5"/>
    <w:rsid w:val="18306422"/>
    <w:rsid w:val="18310418"/>
    <w:rsid w:val="183171BE"/>
    <w:rsid w:val="18401F6B"/>
    <w:rsid w:val="18434EDA"/>
    <w:rsid w:val="184D326B"/>
    <w:rsid w:val="185660F9"/>
    <w:rsid w:val="18652979"/>
    <w:rsid w:val="186C3BDE"/>
    <w:rsid w:val="187F3883"/>
    <w:rsid w:val="188B40FC"/>
    <w:rsid w:val="188E1AD6"/>
    <w:rsid w:val="189162DE"/>
    <w:rsid w:val="18951461"/>
    <w:rsid w:val="189A1F0B"/>
    <w:rsid w:val="189D42EF"/>
    <w:rsid w:val="18A14B05"/>
    <w:rsid w:val="18A85F03"/>
    <w:rsid w:val="18C1102B"/>
    <w:rsid w:val="18DB79D7"/>
    <w:rsid w:val="18DF05DB"/>
    <w:rsid w:val="18E62EA4"/>
    <w:rsid w:val="18E9476E"/>
    <w:rsid w:val="18EA21F0"/>
    <w:rsid w:val="18F7152E"/>
    <w:rsid w:val="18F86F87"/>
    <w:rsid w:val="18F91185"/>
    <w:rsid w:val="19053EEC"/>
    <w:rsid w:val="19073D1E"/>
    <w:rsid w:val="19267F45"/>
    <w:rsid w:val="19492209"/>
    <w:rsid w:val="194F7996"/>
    <w:rsid w:val="19574DA2"/>
    <w:rsid w:val="19582824"/>
    <w:rsid w:val="19636636"/>
    <w:rsid w:val="19651B39"/>
    <w:rsid w:val="19763FD2"/>
    <w:rsid w:val="197752D7"/>
    <w:rsid w:val="197D4711"/>
    <w:rsid w:val="198545EC"/>
    <w:rsid w:val="19877AF0"/>
    <w:rsid w:val="198D5826"/>
    <w:rsid w:val="19961A5B"/>
    <w:rsid w:val="199B6790"/>
    <w:rsid w:val="199F5196"/>
    <w:rsid w:val="19A44BBF"/>
    <w:rsid w:val="19A52923"/>
    <w:rsid w:val="19AE79AF"/>
    <w:rsid w:val="19B802BF"/>
    <w:rsid w:val="19C95FDB"/>
    <w:rsid w:val="19E32408"/>
    <w:rsid w:val="19EF0419"/>
    <w:rsid w:val="1A011A1A"/>
    <w:rsid w:val="1A252E71"/>
    <w:rsid w:val="1A264176"/>
    <w:rsid w:val="1A265143"/>
    <w:rsid w:val="1A364410"/>
    <w:rsid w:val="1A406F1E"/>
    <w:rsid w:val="1A431F25"/>
    <w:rsid w:val="1A4A782D"/>
    <w:rsid w:val="1A5B334B"/>
    <w:rsid w:val="1A612CD6"/>
    <w:rsid w:val="1A674BDF"/>
    <w:rsid w:val="1A6E456A"/>
    <w:rsid w:val="1A7179E3"/>
    <w:rsid w:val="1A7309F2"/>
    <w:rsid w:val="1A741CF7"/>
    <w:rsid w:val="1A790F1E"/>
    <w:rsid w:val="1A794485"/>
    <w:rsid w:val="1A79617E"/>
    <w:rsid w:val="1A7A3C00"/>
    <w:rsid w:val="1A7B477E"/>
    <w:rsid w:val="1A915A23"/>
    <w:rsid w:val="1A9A4135"/>
    <w:rsid w:val="1A9F05BC"/>
    <w:rsid w:val="1ABE27D0"/>
    <w:rsid w:val="1AC23FF4"/>
    <w:rsid w:val="1ACC2385"/>
    <w:rsid w:val="1AD00D8B"/>
    <w:rsid w:val="1ADA4F1E"/>
    <w:rsid w:val="1AE532AF"/>
    <w:rsid w:val="1AE767B2"/>
    <w:rsid w:val="1AF0383F"/>
    <w:rsid w:val="1AF20D68"/>
    <w:rsid w:val="1AF915D9"/>
    <w:rsid w:val="1AFA1BD0"/>
    <w:rsid w:val="1AFF3E59"/>
    <w:rsid w:val="1B073464"/>
    <w:rsid w:val="1B0B5044"/>
    <w:rsid w:val="1B0C316F"/>
    <w:rsid w:val="1B0E5853"/>
    <w:rsid w:val="1B14057B"/>
    <w:rsid w:val="1B181180"/>
    <w:rsid w:val="1B192484"/>
    <w:rsid w:val="1B1B2104"/>
    <w:rsid w:val="1B365892"/>
    <w:rsid w:val="1B3D2CD5"/>
    <w:rsid w:val="1B4902D4"/>
    <w:rsid w:val="1B4A5220"/>
    <w:rsid w:val="1B4C3F58"/>
    <w:rsid w:val="1B4D36AA"/>
    <w:rsid w:val="1B503B26"/>
    <w:rsid w:val="1B6D5181"/>
    <w:rsid w:val="1B741899"/>
    <w:rsid w:val="1B7C6CA6"/>
    <w:rsid w:val="1B80312D"/>
    <w:rsid w:val="1B9C64CF"/>
    <w:rsid w:val="1B9F015F"/>
    <w:rsid w:val="1BA91E9F"/>
    <w:rsid w:val="1BAB0667"/>
    <w:rsid w:val="1BB73608"/>
    <w:rsid w:val="1BCE322D"/>
    <w:rsid w:val="1BDB2542"/>
    <w:rsid w:val="1BDB348B"/>
    <w:rsid w:val="1BED245D"/>
    <w:rsid w:val="1BFC2A77"/>
    <w:rsid w:val="1C1A2027"/>
    <w:rsid w:val="1C2077B4"/>
    <w:rsid w:val="1C324A99"/>
    <w:rsid w:val="1C3276CE"/>
    <w:rsid w:val="1C3928DC"/>
    <w:rsid w:val="1C4353EA"/>
    <w:rsid w:val="1C492B76"/>
    <w:rsid w:val="1C5046FF"/>
    <w:rsid w:val="1C530F07"/>
    <w:rsid w:val="1C6E0E47"/>
    <w:rsid w:val="1C744EE3"/>
    <w:rsid w:val="1C8361D3"/>
    <w:rsid w:val="1C9D2600"/>
    <w:rsid w:val="1CAC04C7"/>
    <w:rsid w:val="1CB2349F"/>
    <w:rsid w:val="1CB30F21"/>
    <w:rsid w:val="1CB42A47"/>
    <w:rsid w:val="1CB966AD"/>
    <w:rsid w:val="1CBF6038"/>
    <w:rsid w:val="1CC125AB"/>
    <w:rsid w:val="1CC659C3"/>
    <w:rsid w:val="1CC96948"/>
    <w:rsid w:val="1CCF653B"/>
    <w:rsid w:val="1CD326F1"/>
    <w:rsid w:val="1CD96BE2"/>
    <w:rsid w:val="1CE51F76"/>
    <w:rsid w:val="1CE82666"/>
    <w:rsid w:val="1CEC7E01"/>
    <w:rsid w:val="1CEE3304"/>
    <w:rsid w:val="1CFA5313"/>
    <w:rsid w:val="1CFB20CB"/>
    <w:rsid w:val="1D081CB0"/>
    <w:rsid w:val="1D0A73B1"/>
    <w:rsid w:val="1D107F26"/>
    <w:rsid w:val="1D1F18D5"/>
    <w:rsid w:val="1D282582"/>
    <w:rsid w:val="1D2E6FE8"/>
    <w:rsid w:val="1D3B5982"/>
    <w:rsid w:val="1D4845C9"/>
    <w:rsid w:val="1D4E2424"/>
    <w:rsid w:val="1D5A6237"/>
    <w:rsid w:val="1D7003DA"/>
    <w:rsid w:val="1D83629B"/>
    <w:rsid w:val="1D84707B"/>
    <w:rsid w:val="1DA453B1"/>
    <w:rsid w:val="1DAE2A5E"/>
    <w:rsid w:val="1DAE2D0C"/>
    <w:rsid w:val="1DB530CD"/>
    <w:rsid w:val="1DBC09E6"/>
    <w:rsid w:val="1DBC2A58"/>
    <w:rsid w:val="1DC91D6E"/>
    <w:rsid w:val="1DCA77EF"/>
    <w:rsid w:val="1DCD0774"/>
    <w:rsid w:val="1DCD4EF1"/>
    <w:rsid w:val="1DD24BFC"/>
    <w:rsid w:val="1DD55B80"/>
    <w:rsid w:val="1DDB1C88"/>
    <w:rsid w:val="1DDF3F11"/>
    <w:rsid w:val="1DE17414"/>
    <w:rsid w:val="1DE60019"/>
    <w:rsid w:val="1E077654"/>
    <w:rsid w:val="1E140EE8"/>
    <w:rsid w:val="1E253381"/>
    <w:rsid w:val="1E3D63A9"/>
    <w:rsid w:val="1E3E3F2B"/>
    <w:rsid w:val="1E4922BC"/>
    <w:rsid w:val="1E4A3FC0"/>
    <w:rsid w:val="1E551952"/>
    <w:rsid w:val="1E583466"/>
    <w:rsid w:val="1E6D3344"/>
    <w:rsid w:val="1E730F02"/>
    <w:rsid w:val="1E815C99"/>
    <w:rsid w:val="1E862121"/>
    <w:rsid w:val="1E913D35"/>
    <w:rsid w:val="1E9217B7"/>
    <w:rsid w:val="1E931290"/>
    <w:rsid w:val="1EAB48DF"/>
    <w:rsid w:val="1EAC455F"/>
    <w:rsid w:val="1EBA1A0A"/>
    <w:rsid w:val="1EBA70F8"/>
    <w:rsid w:val="1ECA7392"/>
    <w:rsid w:val="1EDD2B2F"/>
    <w:rsid w:val="1EDE05B1"/>
    <w:rsid w:val="1EDE3E34"/>
    <w:rsid w:val="1EE16FB7"/>
    <w:rsid w:val="1EE6343F"/>
    <w:rsid w:val="1EF45FD8"/>
    <w:rsid w:val="1EF64B78"/>
    <w:rsid w:val="1F00786C"/>
    <w:rsid w:val="1F08515F"/>
    <w:rsid w:val="1F1C0096"/>
    <w:rsid w:val="1F1C3FFC"/>
    <w:rsid w:val="1F1F101A"/>
    <w:rsid w:val="1F2D4D92"/>
    <w:rsid w:val="1F400656"/>
    <w:rsid w:val="1F47475D"/>
    <w:rsid w:val="1F4B0BE5"/>
    <w:rsid w:val="1F5B1998"/>
    <w:rsid w:val="1F62080A"/>
    <w:rsid w:val="1F662E58"/>
    <w:rsid w:val="1F665012"/>
    <w:rsid w:val="1F6812CD"/>
    <w:rsid w:val="1F6B6F1B"/>
    <w:rsid w:val="1F6C5F75"/>
    <w:rsid w:val="1F6E513F"/>
    <w:rsid w:val="1F7E48B7"/>
    <w:rsid w:val="1F807DBA"/>
    <w:rsid w:val="1F9522DE"/>
    <w:rsid w:val="1F9757E1"/>
    <w:rsid w:val="1F990CE4"/>
    <w:rsid w:val="1FA37075"/>
    <w:rsid w:val="1FB666DA"/>
    <w:rsid w:val="1FB94A9C"/>
    <w:rsid w:val="1FC240A7"/>
    <w:rsid w:val="1FCD4EA9"/>
    <w:rsid w:val="1FD72663"/>
    <w:rsid w:val="1FD81ACE"/>
    <w:rsid w:val="1FED4E93"/>
    <w:rsid w:val="2005006E"/>
    <w:rsid w:val="20076D9A"/>
    <w:rsid w:val="2008261D"/>
    <w:rsid w:val="2009009E"/>
    <w:rsid w:val="200E1FA8"/>
    <w:rsid w:val="20101C28"/>
    <w:rsid w:val="201D2F75"/>
    <w:rsid w:val="203C3DDD"/>
    <w:rsid w:val="203F6EF4"/>
    <w:rsid w:val="20421C31"/>
    <w:rsid w:val="20684B9E"/>
    <w:rsid w:val="206D7DC3"/>
    <w:rsid w:val="209618B1"/>
    <w:rsid w:val="20997CE1"/>
    <w:rsid w:val="209C728D"/>
    <w:rsid w:val="20A67B9D"/>
    <w:rsid w:val="20AA65A3"/>
    <w:rsid w:val="20B117B1"/>
    <w:rsid w:val="20B44934"/>
    <w:rsid w:val="20DB03F7"/>
    <w:rsid w:val="20E9617F"/>
    <w:rsid w:val="20F40FA1"/>
    <w:rsid w:val="21005C24"/>
    <w:rsid w:val="210F75CC"/>
    <w:rsid w:val="21290176"/>
    <w:rsid w:val="21307B01"/>
    <w:rsid w:val="213C3913"/>
    <w:rsid w:val="214C3BAE"/>
    <w:rsid w:val="214C5026"/>
    <w:rsid w:val="214F397D"/>
    <w:rsid w:val="21531E88"/>
    <w:rsid w:val="21556A3C"/>
    <w:rsid w:val="21592EC3"/>
    <w:rsid w:val="21632FE3"/>
    <w:rsid w:val="21640A5C"/>
    <w:rsid w:val="21641CF3"/>
    <w:rsid w:val="21652559"/>
    <w:rsid w:val="216C1EE4"/>
    <w:rsid w:val="216F5067"/>
    <w:rsid w:val="217215EC"/>
    <w:rsid w:val="217472F0"/>
    <w:rsid w:val="21800B85"/>
    <w:rsid w:val="21831B09"/>
    <w:rsid w:val="21900E1F"/>
    <w:rsid w:val="21A2082F"/>
    <w:rsid w:val="21A62FC3"/>
    <w:rsid w:val="21AE03CF"/>
    <w:rsid w:val="21B5021B"/>
    <w:rsid w:val="21C76D7B"/>
    <w:rsid w:val="21DB2198"/>
    <w:rsid w:val="21EC5BFF"/>
    <w:rsid w:val="21F27BBF"/>
    <w:rsid w:val="21F73A06"/>
    <w:rsid w:val="21F94FCB"/>
    <w:rsid w:val="220742E1"/>
    <w:rsid w:val="22093067"/>
    <w:rsid w:val="220A23E4"/>
    <w:rsid w:val="221D490C"/>
    <w:rsid w:val="221F1988"/>
    <w:rsid w:val="22207409"/>
    <w:rsid w:val="2227739A"/>
    <w:rsid w:val="22304816"/>
    <w:rsid w:val="223615AD"/>
    <w:rsid w:val="22395DB5"/>
    <w:rsid w:val="223A3836"/>
    <w:rsid w:val="224F46D5"/>
    <w:rsid w:val="225059DA"/>
    <w:rsid w:val="226A7D59"/>
    <w:rsid w:val="22703D10"/>
    <w:rsid w:val="22715F0F"/>
    <w:rsid w:val="2278331B"/>
    <w:rsid w:val="227A0692"/>
    <w:rsid w:val="228D1ED1"/>
    <w:rsid w:val="228D1FBC"/>
    <w:rsid w:val="228F54BF"/>
    <w:rsid w:val="22970BAB"/>
    <w:rsid w:val="22973BD0"/>
    <w:rsid w:val="22987E08"/>
    <w:rsid w:val="229A04C7"/>
    <w:rsid w:val="22A266DE"/>
    <w:rsid w:val="22AC263C"/>
    <w:rsid w:val="22B06CF8"/>
    <w:rsid w:val="22B10EF6"/>
    <w:rsid w:val="22C6341A"/>
    <w:rsid w:val="22CC2811"/>
    <w:rsid w:val="22CF429E"/>
    <w:rsid w:val="22D038D4"/>
    <w:rsid w:val="22D0502F"/>
    <w:rsid w:val="22F46BD8"/>
    <w:rsid w:val="22FC38F4"/>
    <w:rsid w:val="23050980"/>
    <w:rsid w:val="23101D06"/>
    <w:rsid w:val="23264738"/>
    <w:rsid w:val="232F75C6"/>
    <w:rsid w:val="233627D5"/>
    <w:rsid w:val="233B0E5B"/>
    <w:rsid w:val="234D23FA"/>
    <w:rsid w:val="234F58FD"/>
    <w:rsid w:val="23531D85"/>
    <w:rsid w:val="235E0116"/>
    <w:rsid w:val="235F6973"/>
    <w:rsid w:val="236D70AB"/>
    <w:rsid w:val="237B3E42"/>
    <w:rsid w:val="237D5147"/>
    <w:rsid w:val="237E332B"/>
    <w:rsid w:val="238734D8"/>
    <w:rsid w:val="238969DB"/>
    <w:rsid w:val="239911F4"/>
    <w:rsid w:val="23B702D3"/>
    <w:rsid w:val="23C25DC7"/>
    <w:rsid w:val="23CF684B"/>
    <w:rsid w:val="23D14BD1"/>
    <w:rsid w:val="23D35B56"/>
    <w:rsid w:val="23D66ADB"/>
    <w:rsid w:val="23E277DF"/>
    <w:rsid w:val="23E92278"/>
    <w:rsid w:val="23F15106"/>
    <w:rsid w:val="23FB6C61"/>
    <w:rsid w:val="23FF7120"/>
    <w:rsid w:val="24001E9D"/>
    <w:rsid w:val="240772AA"/>
    <w:rsid w:val="240A3AB2"/>
    <w:rsid w:val="240A6030"/>
    <w:rsid w:val="240F7F39"/>
    <w:rsid w:val="24175346"/>
    <w:rsid w:val="24215C55"/>
    <w:rsid w:val="242641B0"/>
    <w:rsid w:val="243B09FD"/>
    <w:rsid w:val="243B67FF"/>
    <w:rsid w:val="2445130D"/>
    <w:rsid w:val="244B5A98"/>
    <w:rsid w:val="244C4DEE"/>
    <w:rsid w:val="2452597D"/>
    <w:rsid w:val="247B506A"/>
    <w:rsid w:val="247D50F0"/>
    <w:rsid w:val="248249F5"/>
    <w:rsid w:val="24833006"/>
    <w:rsid w:val="248B4A79"/>
    <w:rsid w:val="248C7503"/>
    <w:rsid w:val="249A6818"/>
    <w:rsid w:val="24B27742"/>
    <w:rsid w:val="24D02576"/>
    <w:rsid w:val="24D25A79"/>
    <w:rsid w:val="24D4090C"/>
    <w:rsid w:val="24DD408D"/>
    <w:rsid w:val="24E40881"/>
    <w:rsid w:val="24E45993"/>
    <w:rsid w:val="24E91E1B"/>
    <w:rsid w:val="24F4110F"/>
    <w:rsid w:val="24FB0E3B"/>
    <w:rsid w:val="250550E5"/>
    <w:rsid w:val="252B3B89"/>
    <w:rsid w:val="252D79D0"/>
    <w:rsid w:val="25304902"/>
    <w:rsid w:val="255D7234"/>
    <w:rsid w:val="25616AB8"/>
    <w:rsid w:val="2565021B"/>
    <w:rsid w:val="2565483C"/>
    <w:rsid w:val="25695BEC"/>
    <w:rsid w:val="25710EE5"/>
    <w:rsid w:val="25824598"/>
    <w:rsid w:val="258D2929"/>
    <w:rsid w:val="258D6542"/>
    <w:rsid w:val="25B65CEB"/>
    <w:rsid w:val="25C14D1E"/>
    <w:rsid w:val="25C17900"/>
    <w:rsid w:val="25D3781A"/>
    <w:rsid w:val="25D82353"/>
    <w:rsid w:val="25E06B30"/>
    <w:rsid w:val="25E145B1"/>
    <w:rsid w:val="25E877BF"/>
    <w:rsid w:val="25F61BA0"/>
    <w:rsid w:val="26023BEC"/>
    <w:rsid w:val="260A0FF9"/>
    <w:rsid w:val="260D052E"/>
    <w:rsid w:val="26120603"/>
    <w:rsid w:val="26234121"/>
    <w:rsid w:val="262A5CAA"/>
    <w:rsid w:val="263A04C3"/>
    <w:rsid w:val="263F62A3"/>
    <w:rsid w:val="265C1CFC"/>
    <w:rsid w:val="26673911"/>
    <w:rsid w:val="268F4733"/>
    <w:rsid w:val="269975E3"/>
    <w:rsid w:val="269B2AE6"/>
    <w:rsid w:val="269C6D59"/>
    <w:rsid w:val="26A1116C"/>
    <w:rsid w:val="26A149EF"/>
    <w:rsid w:val="26A45974"/>
    <w:rsid w:val="26A8437A"/>
    <w:rsid w:val="26BA7B18"/>
    <w:rsid w:val="26BC301B"/>
    <w:rsid w:val="26CD6B38"/>
    <w:rsid w:val="26D631BF"/>
    <w:rsid w:val="26DD0523"/>
    <w:rsid w:val="26E32EDA"/>
    <w:rsid w:val="26E61C61"/>
    <w:rsid w:val="26FD3A84"/>
    <w:rsid w:val="270B661D"/>
    <w:rsid w:val="273477E1"/>
    <w:rsid w:val="273504DE"/>
    <w:rsid w:val="273E1940"/>
    <w:rsid w:val="273E5B72"/>
    <w:rsid w:val="27447A7C"/>
    <w:rsid w:val="27532294"/>
    <w:rsid w:val="275D7321"/>
    <w:rsid w:val="277272C6"/>
    <w:rsid w:val="277314C4"/>
    <w:rsid w:val="277549C7"/>
    <w:rsid w:val="277B2154"/>
    <w:rsid w:val="277D5657"/>
    <w:rsid w:val="27877499"/>
    <w:rsid w:val="27901809"/>
    <w:rsid w:val="279462AC"/>
    <w:rsid w:val="27987506"/>
    <w:rsid w:val="27994F87"/>
    <w:rsid w:val="27BB09BF"/>
    <w:rsid w:val="27BE60C1"/>
    <w:rsid w:val="27C82253"/>
    <w:rsid w:val="27D97F6F"/>
    <w:rsid w:val="27DD5EA5"/>
    <w:rsid w:val="27EB6814"/>
    <w:rsid w:val="27F17147"/>
    <w:rsid w:val="28102FBD"/>
    <w:rsid w:val="28105ECB"/>
    <w:rsid w:val="28187A54"/>
    <w:rsid w:val="28287CEE"/>
    <w:rsid w:val="282A6A75"/>
    <w:rsid w:val="282D43C0"/>
    <w:rsid w:val="28335AC5"/>
    <w:rsid w:val="28364A85"/>
    <w:rsid w:val="28372507"/>
    <w:rsid w:val="283A3E5D"/>
    <w:rsid w:val="28400DD7"/>
    <w:rsid w:val="28415BC1"/>
    <w:rsid w:val="28593D41"/>
    <w:rsid w:val="285A28CE"/>
    <w:rsid w:val="286C4F60"/>
    <w:rsid w:val="28732AD0"/>
    <w:rsid w:val="287E7D15"/>
    <w:rsid w:val="28801A02"/>
    <w:rsid w:val="288179B4"/>
    <w:rsid w:val="28883039"/>
    <w:rsid w:val="28894890"/>
    <w:rsid w:val="28896A8E"/>
    <w:rsid w:val="28932C21"/>
    <w:rsid w:val="2893739E"/>
    <w:rsid w:val="289406A2"/>
    <w:rsid w:val="28A1422D"/>
    <w:rsid w:val="28A37638"/>
    <w:rsid w:val="28A42EBB"/>
    <w:rsid w:val="28AA489F"/>
    <w:rsid w:val="28B117FD"/>
    <w:rsid w:val="28B37BA6"/>
    <w:rsid w:val="28B66659"/>
    <w:rsid w:val="28B740DA"/>
    <w:rsid w:val="28B975DD"/>
    <w:rsid w:val="28BE07A7"/>
    <w:rsid w:val="28C547D3"/>
    <w:rsid w:val="28C81DF6"/>
    <w:rsid w:val="28D72411"/>
    <w:rsid w:val="28DA5593"/>
    <w:rsid w:val="28DD1D9B"/>
    <w:rsid w:val="28E8012C"/>
    <w:rsid w:val="28F53BBF"/>
    <w:rsid w:val="28F95E48"/>
    <w:rsid w:val="28FB5AC8"/>
    <w:rsid w:val="28FD484F"/>
    <w:rsid w:val="29223568"/>
    <w:rsid w:val="2923120B"/>
    <w:rsid w:val="2935022C"/>
    <w:rsid w:val="293A61C7"/>
    <w:rsid w:val="294F2FF6"/>
    <w:rsid w:val="29585E62"/>
    <w:rsid w:val="29610315"/>
    <w:rsid w:val="29665177"/>
    <w:rsid w:val="2967647C"/>
    <w:rsid w:val="296C2AC7"/>
    <w:rsid w:val="29716D8C"/>
    <w:rsid w:val="29763213"/>
    <w:rsid w:val="29772E93"/>
    <w:rsid w:val="297A3E18"/>
    <w:rsid w:val="297C3DE6"/>
    <w:rsid w:val="298101EA"/>
    <w:rsid w:val="2990183F"/>
    <w:rsid w:val="299172C0"/>
    <w:rsid w:val="299C5651"/>
    <w:rsid w:val="29A42A5E"/>
    <w:rsid w:val="29A94291"/>
    <w:rsid w:val="29BF1089"/>
    <w:rsid w:val="29C35511"/>
    <w:rsid w:val="29C92C9E"/>
    <w:rsid w:val="29D35706"/>
    <w:rsid w:val="29DC6954"/>
    <w:rsid w:val="29EE1BD8"/>
    <w:rsid w:val="29FC1D70"/>
    <w:rsid w:val="2A0E468C"/>
    <w:rsid w:val="2A2A12B0"/>
    <w:rsid w:val="2A2B5AF0"/>
    <w:rsid w:val="2A3000C3"/>
    <w:rsid w:val="2A380D53"/>
    <w:rsid w:val="2A4525E7"/>
    <w:rsid w:val="2A48356C"/>
    <w:rsid w:val="2A4925D8"/>
    <w:rsid w:val="2A496A6F"/>
    <w:rsid w:val="2A5330AD"/>
    <w:rsid w:val="2A5866BF"/>
    <w:rsid w:val="2A691522"/>
    <w:rsid w:val="2A6E122D"/>
    <w:rsid w:val="2A7E3A46"/>
    <w:rsid w:val="2A827ECE"/>
    <w:rsid w:val="2A870AD2"/>
    <w:rsid w:val="2A9C0A77"/>
    <w:rsid w:val="2A9D64F9"/>
    <w:rsid w:val="2AAB7A0D"/>
    <w:rsid w:val="2AB53BA0"/>
    <w:rsid w:val="2AB925A6"/>
    <w:rsid w:val="2AC8733D"/>
    <w:rsid w:val="2ACA0058"/>
    <w:rsid w:val="2ACB3B4E"/>
    <w:rsid w:val="2AD95059"/>
    <w:rsid w:val="2ADA0DD3"/>
    <w:rsid w:val="2AEE4FFE"/>
    <w:rsid w:val="2AFE1A16"/>
    <w:rsid w:val="2B0C74B3"/>
    <w:rsid w:val="2B226752"/>
    <w:rsid w:val="2B341EF0"/>
    <w:rsid w:val="2B3F0281"/>
    <w:rsid w:val="2B513A1E"/>
    <w:rsid w:val="2B5449A3"/>
    <w:rsid w:val="2B586C2C"/>
    <w:rsid w:val="2B5E52B2"/>
    <w:rsid w:val="2B6F0915"/>
    <w:rsid w:val="2B711D54"/>
    <w:rsid w:val="2B781578"/>
    <w:rsid w:val="2B7B6DE1"/>
    <w:rsid w:val="2B7F106A"/>
    <w:rsid w:val="2B823170"/>
    <w:rsid w:val="2B964513"/>
    <w:rsid w:val="2B984192"/>
    <w:rsid w:val="2BC05357"/>
    <w:rsid w:val="2BC60FC8"/>
    <w:rsid w:val="2BC74CE2"/>
    <w:rsid w:val="2BC94961"/>
    <w:rsid w:val="2BCA23E3"/>
    <w:rsid w:val="2BD5553E"/>
    <w:rsid w:val="2BD829FE"/>
    <w:rsid w:val="2BE12008"/>
    <w:rsid w:val="2BE63D91"/>
    <w:rsid w:val="2C1E78EF"/>
    <w:rsid w:val="2C300E8E"/>
    <w:rsid w:val="2C413326"/>
    <w:rsid w:val="2C453755"/>
    <w:rsid w:val="2C477438"/>
    <w:rsid w:val="2C7E6A0F"/>
    <w:rsid w:val="2C8903AA"/>
    <w:rsid w:val="2C952E29"/>
    <w:rsid w:val="2CB06F6C"/>
    <w:rsid w:val="2CB325CB"/>
    <w:rsid w:val="2CB510E7"/>
    <w:rsid w:val="2CB618C5"/>
    <w:rsid w:val="2CB7681F"/>
    <w:rsid w:val="2CBC0A72"/>
    <w:rsid w:val="2CCA108C"/>
    <w:rsid w:val="2CCA1EE1"/>
    <w:rsid w:val="2CDF1F2B"/>
    <w:rsid w:val="2CF2314A"/>
    <w:rsid w:val="2CF40003"/>
    <w:rsid w:val="2CF47017"/>
    <w:rsid w:val="2CF540CF"/>
    <w:rsid w:val="2CF775D2"/>
    <w:rsid w:val="2D07786C"/>
    <w:rsid w:val="2D0B6272"/>
    <w:rsid w:val="2D19661A"/>
    <w:rsid w:val="2D2C202A"/>
    <w:rsid w:val="2D332C86"/>
    <w:rsid w:val="2D400CCB"/>
    <w:rsid w:val="2D41674C"/>
    <w:rsid w:val="2D4241CE"/>
    <w:rsid w:val="2D511F6F"/>
    <w:rsid w:val="2D55796B"/>
    <w:rsid w:val="2D5C1240"/>
    <w:rsid w:val="2D5D05FB"/>
    <w:rsid w:val="2D634703"/>
    <w:rsid w:val="2D673109"/>
    <w:rsid w:val="2D67693D"/>
    <w:rsid w:val="2D7746A6"/>
    <w:rsid w:val="2D7968A6"/>
    <w:rsid w:val="2D7B7CE9"/>
    <w:rsid w:val="2D802444"/>
    <w:rsid w:val="2D8356F1"/>
    <w:rsid w:val="2D9561D7"/>
    <w:rsid w:val="2D961A5A"/>
    <w:rsid w:val="2D9774DB"/>
    <w:rsid w:val="2D9F106A"/>
    <w:rsid w:val="2DAF2604"/>
    <w:rsid w:val="2DB32EFA"/>
    <w:rsid w:val="2DB42C49"/>
    <w:rsid w:val="2DB5450D"/>
    <w:rsid w:val="2DC8572C"/>
    <w:rsid w:val="2DD611BE"/>
    <w:rsid w:val="2DDD6476"/>
    <w:rsid w:val="2DE5725A"/>
    <w:rsid w:val="2DEF7B6A"/>
    <w:rsid w:val="2DFE2383"/>
    <w:rsid w:val="2E157DAA"/>
    <w:rsid w:val="2E205C69"/>
    <w:rsid w:val="2E251321"/>
    <w:rsid w:val="2E2735F8"/>
    <w:rsid w:val="2E2A3E33"/>
    <w:rsid w:val="2E2B14E9"/>
    <w:rsid w:val="2E2C79CF"/>
    <w:rsid w:val="2E2F747C"/>
    <w:rsid w:val="2E3005D3"/>
    <w:rsid w:val="2E376C78"/>
    <w:rsid w:val="2E3D1E67"/>
    <w:rsid w:val="2E4162EF"/>
    <w:rsid w:val="2E4D3B76"/>
    <w:rsid w:val="2E545310"/>
    <w:rsid w:val="2E616BA4"/>
    <w:rsid w:val="2E650E2E"/>
    <w:rsid w:val="2E6A7572"/>
    <w:rsid w:val="2E7A5550"/>
    <w:rsid w:val="2E851362"/>
    <w:rsid w:val="2E8B326C"/>
    <w:rsid w:val="2EA01E4F"/>
    <w:rsid w:val="2EAC37A0"/>
    <w:rsid w:val="2EBD14BC"/>
    <w:rsid w:val="2EC7564F"/>
    <w:rsid w:val="2EC86C41"/>
    <w:rsid w:val="2ED90DEC"/>
    <w:rsid w:val="2EEE550E"/>
    <w:rsid w:val="2EF16493"/>
    <w:rsid w:val="2EF51616"/>
    <w:rsid w:val="2F0D2540"/>
    <w:rsid w:val="2F1269C8"/>
    <w:rsid w:val="2F196353"/>
    <w:rsid w:val="2F3A3665"/>
    <w:rsid w:val="2F3D0B11"/>
    <w:rsid w:val="2F3E6E00"/>
    <w:rsid w:val="2F600CC5"/>
    <w:rsid w:val="2F6760D2"/>
    <w:rsid w:val="2F6973D6"/>
    <w:rsid w:val="2F6E5A5D"/>
    <w:rsid w:val="2F7553E7"/>
    <w:rsid w:val="2F8530AA"/>
    <w:rsid w:val="2F866987"/>
    <w:rsid w:val="2F8A538D"/>
    <w:rsid w:val="2F8C0890"/>
    <w:rsid w:val="2F9C6480"/>
    <w:rsid w:val="2F9E6EAD"/>
    <w:rsid w:val="2FAF45CB"/>
    <w:rsid w:val="2FB247CD"/>
    <w:rsid w:val="2FBB351A"/>
    <w:rsid w:val="2FC20F7C"/>
    <w:rsid w:val="2FC906F5"/>
    <w:rsid w:val="2FDC5E0D"/>
    <w:rsid w:val="2FEB66AB"/>
    <w:rsid w:val="2FF23AB7"/>
    <w:rsid w:val="300217CB"/>
    <w:rsid w:val="300D5EEE"/>
    <w:rsid w:val="30110AE9"/>
    <w:rsid w:val="30277371"/>
    <w:rsid w:val="3031330E"/>
    <w:rsid w:val="30357A24"/>
    <w:rsid w:val="3039642A"/>
    <w:rsid w:val="303C2CD7"/>
    <w:rsid w:val="303F3BB7"/>
    <w:rsid w:val="304447BB"/>
    <w:rsid w:val="304B2ADC"/>
    <w:rsid w:val="304B7119"/>
    <w:rsid w:val="304E4B17"/>
    <w:rsid w:val="30671960"/>
    <w:rsid w:val="30683E50"/>
    <w:rsid w:val="30707E82"/>
    <w:rsid w:val="30727889"/>
    <w:rsid w:val="3074553B"/>
    <w:rsid w:val="307D5295"/>
    <w:rsid w:val="30802422"/>
    <w:rsid w:val="308220A2"/>
    <w:rsid w:val="3086432B"/>
    <w:rsid w:val="30866529"/>
    <w:rsid w:val="3088782E"/>
    <w:rsid w:val="308C6234"/>
    <w:rsid w:val="308D3CB6"/>
    <w:rsid w:val="309026BC"/>
    <w:rsid w:val="30906E39"/>
    <w:rsid w:val="30925BBF"/>
    <w:rsid w:val="309A7748"/>
    <w:rsid w:val="309F1652"/>
    <w:rsid w:val="30A64860"/>
    <w:rsid w:val="30C93B1B"/>
    <w:rsid w:val="30CE471F"/>
    <w:rsid w:val="310061F3"/>
    <w:rsid w:val="310103F1"/>
    <w:rsid w:val="310E0E7D"/>
    <w:rsid w:val="31160397"/>
    <w:rsid w:val="312665EC"/>
    <w:rsid w:val="312A7037"/>
    <w:rsid w:val="313666CD"/>
    <w:rsid w:val="313A50D3"/>
    <w:rsid w:val="315A1D85"/>
    <w:rsid w:val="316F0A25"/>
    <w:rsid w:val="31777136"/>
    <w:rsid w:val="317D1040"/>
    <w:rsid w:val="31817A46"/>
    <w:rsid w:val="319B3E73"/>
    <w:rsid w:val="31A81E84"/>
    <w:rsid w:val="31C866DF"/>
    <w:rsid w:val="31DF7DE0"/>
    <w:rsid w:val="31E72C6D"/>
    <w:rsid w:val="31F938CC"/>
    <w:rsid w:val="31FA2B2D"/>
    <w:rsid w:val="31FB190E"/>
    <w:rsid w:val="3218343D"/>
    <w:rsid w:val="321C4784"/>
    <w:rsid w:val="321E5346"/>
    <w:rsid w:val="32200849"/>
    <w:rsid w:val="32316565"/>
    <w:rsid w:val="32323FE6"/>
    <w:rsid w:val="325A7729"/>
    <w:rsid w:val="32604EB6"/>
    <w:rsid w:val="326A3247"/>
    <w:rsid w:val="32742E51"/>
    <w:rsid w:val="327C0F63"/>
    <w:rsid w:val="32915685"/>
    <w:rsid w:val="3295408B"/>
    <w:rsid w:val="32961B0D"/>
    <w:rsid w:val="32A56E3D"/>
    <w:rsid w:val="32B92FC6"/>
    <w:rsid w:val="32BC31E3"/>
    <w:rsid w:val="32C338D5"/>
    <w:rsid w:val="32C600DD"/>
    <w:rsid w:val="32CD7A68"/>
    <w:rsid w:val="32D22292"/>
    <w:rsid w:val="32D33B70"/>
    <w:rsid w:val="32D912FC"/>
    <w:rsid w:val="32DF7982"/>
    <w:rsid w:val="32E1603D"/>
    <w:rsid w:val="32E5510F"/>
    <w:rsid w:val="32E86094"/>
    <w:rsid w:val="32FB72B2"/>
    <w:rsid w:val="33047BC2"/>
    <w:rsid w:val="3316609A"/>
    <w:rsid w:val="332C7A82"/>
    <w:rsid w:val="3332520E"/>
    <w:rsid w:val="334A2505"/>
    <w:rsid w:val="334C7FB6"/>
    <w:rsid w:val="33547B5C"/>
    <w:rsid w:val="336D3D6E"/>
    <w:rsid w:val="336E5F6C"/>
    <w:rsid w:val="337C3571"/>
    <w:rsid w:val="337F1A8A"/>
    <w:rsid w:val="33933FAE"/>
    <w:rsid w:val="33995EB7"/>
    <w:rsid w:val="33A44248"/>
    <w:rsid w:val="33AF47D8"/>
    <w:rsid w:val="33D41194"/>
    <w:rsid w:val="33DC1E24"/>
    <w:rsid w:val="33E162AB"/>
    <w:rsid w:val="33E5569C"/>
    <w:rsid w:val="33E836E7"/>
    <w:rsid w:val="33FF314B"/>
    <w:rsid w:val="34040BC2"/>
    <w:rsid w:val="340D5E76"/>
    <w:rsid w:val="34106DFB"/>
    <w:rsid w:val="34172F02"/>
    <w:rsid w:val="341F5D90"/>
    <w:rsid w:val="342D3CD9"/>
    <w:rsid w:val="34313AAC"/>
    <w:rsid w:val="3432152E"/>
    <w:rsid w:val="34386CBA"/>
    <w:rsid w:val="343B743F"/>
    <w:rsid w:val="34433534"/>
    <w:rsid w:val="3444054E"/>
    <w:rsid w:val="344F68DF"/>
    <w:rsid w:val="3457176D"/>
    <w:rsid w:val="34580D8D"/>
    <w:rsid w:val="345B0173"/>
    <w:rsid w:val="3463198D"/>
    <w:rsid w:val="34635580"/>
    <w:rsid w:val="3491064E"/>
    <w:rsid w:val="34961252"/>
    <w:rsid w:val="349F1B61"/>
    <w:rsid w:val="34B0567F"/>
    <w:rsid w:val="34B13101"/>
    <w:rsid w:val="34B67588"/>
    <w:rsid w:val="34C1119D"/>
    <w:rsid w:val="34C1339B"/>
    <w:rsid w:val="34D73340"/>
    <w:rsid w:val="34E152F0"/>
    <w:rsid w:val="34E500D8"/>
    <w:rsid w:val="34EA455F"/>
    <w:rsid w:val="34FA47FA"/>
    <w:rsid w:val="34FD0168"/>
    <w:rsid w:val="34FE3200"/>
    <w:rsid w:val="35033E04"/>
    <w:rsid w:val="350A7012"/>
    <w:rsid w:val="351D0231"/>
    <w:rsid w:val="352D7858"/>
    <w:rsid w:val="354D2F7F"/>
    <w:rsid w:val="355B7D16"/>
    <w:rsid w:val="35642BA4"/>
    <w:rsid w:val="3578610F"/>
    <w:rsid w:val="357F2070"/>
    <w:rsid w:val="358D5368"/>
    <w:rsid w:val="3590276F"/>
    <w:rsid w:val="35A1013E"/>
    <w:rsid w:val="35A35F0C"/>
    <w:rsid w:val="35A91506"/>
    <w:rsid w:val="35AE7B20"/>
    <w:rsid w:val="35C02F15"/>
    <w:rsid w:val="35C57746"/>
    <w:rsid w:val="35C673C5"/>
    <w:rsid w:val="35D850E1"/>
    <w:rsid w:val="35D963E6"/>
    <w:rsid w:val="35DE286E"/>
    <w:rsid w:val="35EE7A7B"/>
    <w:rsid w:val="35EF058A"/>
    <w:rsid w:val="35F36F90"/>
    <w:rsid w:val="35F9471D"/>
    <w:rsid w:val="35FB549E"/>
    <w:rsid w:val="36044CAC"/>
    <w:rsid w:val="360949B7"/>
    <w:rsid w:val="3616624B"/>
    <w:rsid w:val="361C2353"/>
    <w:rsid w:val="3624775F"/>
    <w:rsid w:val="362E4914"/>
    <w:rsid w:val="363122F8"/>
    <w:rsid w:val="36334375"/>
    <w:rsid w:val="36335EB5"/>
    <w:rsid w:val="36347457"/>
    <w:rsid w:val="3635547B"/>
    <w:rsid w:val="36390A6E"/>
    <w:rsid w:val="363C0689"/>
    <w:rsid w:val="36576CB4"/>
    <w:rsid w:val="365A34BC"/>
    <w:rsid w:val="366208C9"/>
    <w:rsid w:val="36637F1B"/>
    <w:rsid w:val="367665EB"/>
    <w:rsid w:val="36774FEB"/>
    <w:rsid w:val="367D10F2"/>
    <w:rsid w:val="36820DFD"/>
    <w:rsid w:val="3682557A"/>
    <w:rsid w:val="36840A7D"/>
    <w:rsid w:val="368A2987"/>
    <w:rsid w:val="36931098"/>
    <w:rsid w:val="369B14E1"/>
    <w:rsid w:val="369C19A7"/>
    <w:rsid w:val="36BA0F57"/>
    <w:rsid w:val="36C7606F"/>
    <w:rsid w:val="36D21E81"/>
    <w:rsid w:val="36D3462E"/>
    <w:rsid w:val="36E5561F"/>
    <w:rsid w:val="36FB77C2"/>
    <w:rsid w:val="36FE0747"/>
    <w:rsid w:val="36FF03C7"/>
    <w:rsid w:val="3709455A"/>
    <w:rsid w:val="37270EEB"/>
    <w:rsid w:val="372A0312"/>
    <w:rsid w:val="3732571E"/>
    <w:rsid w:val="37364124"/>
    <w:rsid w:val="37460B3B"/>
    <w:rsid w:val="374C2A45"/>
    <w:rsid w:val="37537E51"/>
    <w:rsid w:val="375F74E7"/>
    <w:rsid w:val="376535EE"/>
    <w:rsid w:val="37722E0E"/>
    <w:rsid w:val="37783FC2"/>
    <w:rsid w:val="377B3594"/>
    <w:rsid w:val="377F36A9"/>
    <w:rsid w:val="378C4B33"/>
    <w:rsid w:val="3790083E"/>
    <w:rsid w:val="37964348"/>
    <w:rsid w:val="379D4DCD"/>
    <w:rsid w:val="379F02D0"/>
    <w:rsid w:val="37A03513"/>
    <w:rsid w:val="37A9473C"/>
    <w:rsid w:val="37B31CC9"/>
    <w:rsid w:val="37C02A03"/>
    <w:rsid w:val="37CC6816"/>
    <w:rsid w:val="37CD5AB0"/>
    <w:rsid w:val="37D23FA3"/>
    <w:rsid w:val="37D64BA7"/>
    <w:rsid w:val="37F62EDD"/>
    <w:rsid w:val="37F863E1"/>
    <w:rsid w:val="38070BF9"/>
    <w:rsid w:val="38091EFE"/>
    <w:rsid w:val="38161214"/>
    <w:rsid w:val="381953CC"/>
    <w:rsid w:val="381F01C6"/>
    <w:rsid w:val="382146AE"/>
    <w:rsid w:val="383032CD"/>
    <w:rsid w:val="383E32D2"/>
    <w:rsid w:val="38402058"/>
    <w:rsid w:val="38481310"/>
    <w:rsid w:val="38666A14"/>
    <w:rsid w:val="38681F18"/>
    <w:rsid w:val="386E4A17"/>
    <w:rsid w:val="386E76A4"/>
    <w:rsid w:val="386F5126"/>
    <w:rsid w:val="387F2B9C"/>
    <w:rsid w:val="387F3FB0"/>
    <w:rsid w:val="38802E42"/>
    <w:rsid w:val="388749CB"/>
    <w:rsid w:val="388E4356"/>
    <w:rsid w:val="38960718"/>
    <w:rsid w:val="389A5CDD"/>
    <w:rsid w:val="38A762A9"/>
    <w:rsid w:val="38A96204"/>
    <w:rsid w:val="38C3207D"/>
    <w:rsid w:val="38C65B34"/>
    <w:rsid w:val="38D00642"/>
    <w:rsid w:val="38D65DCF"/>
    <w:rsid w:val="38D812D2"/>
    <w:rsid w:val="38DB2257"/>
    <w:rsid w:val="38DB556D"/>
    <w:rsid w:val="38E8156C"/>
    <w:rsid w:val="38E85CE9"/>
    <w:rsid w:val="38EC23AD"/>
    <w:rsid w:val="38F378FD"/>
    <w:rsid w:val="38FF0BC1"/>
    <w:rsid w:val="39065299"/>
    <w:rsid w:val="39094EA1"/>
    <w:rsid w:val="392372EA"/>
    <w:rsid w:val="39261E01"/>
    <w:rsid w:val="392635CF"/>
    <w:rsid w:val="39266E53"/>
    <w:rsid w:val="392C0D5C"/>
    <w:rsid w:val="39650B36"/>
    <w:rsid w:val="396E2CC4"/>
    <w:rsid w:val="3986626A"/>
    <w:rsid w:val="398F777C"/>
    <w:rsid w:val="39A47721"/>
    <w:rsid w:val="39A62C24"/>
    <w:rsid w:val="39AF61DC"/>
    <w:rsid w:val="39BF5D4C"/>
    <w:rsid w:val="39C4180D"/>
    <w:rsid w:val="39C46996"/>
    <w:rsid w:val="39E42709"/>
    <w:rsid w:val="39F83928"/>
    <w:rsid w:val="39FE3167"/>
    <w:rsid w:val="3A052C3D"/>
    <w:rsid w:val="3A083BC2"/>
    <w:rsid w:val="3A181C5E"/>
    <w:rsid w:val="3A2E3E02"/>
    <w:rsid w:val="3A35598B"/>
    <w:rsid w:val="3A374711"/>
    <w:rsid w:val="3A382193"/>
    <w:rsid w:val="3A4977E4"/>
    <w:rsid w:val="3A50591E"/>
    <w:rsid w:val="3A584C46"/>
    <w:rsid w:val="3A617AD4"/>
    <w:rsid w:val="3A6E6DEA"/>
    <w:rsid w:val="3A7E0211"/>
    <w:rsid w:val="3A8B0918"/>
    <w:rsid w:val="3A8E5120"/>
    <w:rsid w:val="3A9315A8"/>
    <w:rsid w:val="3A997C25"/>
    <w:rsid w:val="3A9B69B4"/>
    <w:rsid w:val="3AA31842"/>
    <w:rsid w:val="3AA472C4"/>
    <w:rsid w:val="3AAD21B4"/>
    <w:rsid w:val="3AB5593E"/>
    <w:rsid w:val="3AD26B0E"/>
    <w:rsid w:val="3AE016A7"/>
    <w:rsid w:val="3AE375F7"/>
    <w:rsid w:val="3AEB54BA"/>
    <w:rsid w:val="3AF75A49"/>
    <w:rsid w:val="3B006358"/>
    <w:rsid w:val="3B017A9F"/>
    <w:rsid w:val="3B0350DF"/>
    <w:rsid w:val="3B044D5F"/>
    <w:rsid w:val="3B083765"/>
    <w:rsid w:val="3B185B21"/>
    <w:rsid w:val="3B29751D"/>
    <w:rsid w:val="3B393649"/>
    <w:rsid w:val="3B3A303A"/>
    <w:rsid w:val="3B3C653D"/>
    <w:rsid w:val="3B4122B3"/>
    <w:rsid w:val="3B487DD2"/>
    <w:rsid w:val="3B514E5E"/>
    <w:rsid w:val="3B5C6A72"/>
    <w:rsid w:val="3B5E1F75"/>
    <w:rsid w:val="3B682885"/>
    <w:rsid w:val="3B692505"/>
    <w:rsid w:val="3B76761C"/>
    <w:rsid w:val="3B915C47"/>
    <w:rsid w:val="3BAB67F1"/>
    <w:rsid w:val="3BAD6B2A"/>
    <w:rsid w:val="3BAF51F7"/>
    <w:rsid w:val="3BB056CF"/>
    <w:rsid w:val="3BB54B82"/>
    <w:rsid w:val="3BBB43D5"/>
    <w:rsid w:val="3BBD5812"/>
    <w:rsid w:val="3BBD7D90"/>
    <w:rsid w:val="3BC02F13"/>
    <w:rsid w:val="3BCA412D"/>
    <w:rsid w:val="3BD10C2F"/>
    <w:rsid w:val="3BFE07FA"/>
    <w:rsid w:val="3C034C82"/>
    <w:rsid w:val="3C053A08"/>
    <w:rsid w:val="3C0B5911"/>
    <w:rsid w:val="3C0C3393"/>
    <w:rsid w:val="3C2A4B41"/>
    <w:rsid w:val="3C3818D8"/>
    <w:rsid w:val="3C3B065F"/>
    <w:rsid w:val="3C4334ED"/>
    <w:rsid w:val="3C4B61D7"/>
    <w:rsid w:val="3C4E48B8"/>
    <w:rsid w:val="3C57106B"/>
    <w:rsid w:val="3C5B0B93"/>
    <w:rsid w:val="3C5C4417"/>
    <w:rsid w:val="3C5D239E"/>
    <w:rsid w:val="3C631823"/>
    <w:rsid w:val="3C69372C"/>
    <w:rsid w:val="3C7F204D"/>
    <w:rsid w:val="3C8619D8"/>
    <w:rsid w:val="3C865F8F"/>
    <w:rsid w:val="3CA00003"/>
    <w:rsid w:val="3CA37BEB"/>
    <w:rsid w:val="3CB120C8"/>
    <w:rsid w:val="3CC203DF"/>
    <w:rsid w:val="3CC8405F"/>
    <w:rsid w:val="3CD278D9"/>
    <w:rsid w:val="3CD31AD7"/>
    <w:rsid w:val="3CD411CD"/>
    <w:rsid w:val="3CD839E0"/>
    <w:rsid w:val="3CDD5C6A"/>
    <w:rsid w:val="3CDE36EB"/>
    <w:rsid w:val="3CDF6BEE"/>
    <w:rsid w:val="3CE11114"/>
    <w:rsid w:val="3CE355F4"/>
    <w:rsid w:val="3CE861F9"/>
    <w:rsid w:val="3CE968BC"/>
    <w:rsid w:val="3CF946FE"/>
    <w:rsid w:val="3D033DBF"/>
    <w:rsid w:val="3D1C447A"/>
    <w:rsid w:val="3D1C6C56"/>
    <w:rsid w:val="3D1E069A"/>
    <w:rsid w:val="3D340877"/>
    <w:rsid w:val="3D3E3AA5"/>
    <w:rsid w:val="3D402D06"/>
    <w:rsid w:val="3D430E91"/>
    <w:rsid w:val="3D5742AE"/>
    <w:rsid w:val="3D833E79"/>
    <w:rsid w:val="3D930949"/>
    <w:rsid w:val="3D962E9A"/>
    <w:rsid w:val="3D976F39"/>
    <w:rsid w:val="3DA63134"/>
    <w:rsid w:val="3DAF5DCF"/>
    <w:rsid w:val="3DB5594D"/>
    <w:rsid w:val="3DB90AD0"/>
    <w:rsid w:val="3DB91EBD"/>
    <w:rsid w:val="3DBE07DB"/>
    <w:rsid w:val="3DCD2FF3"/>
    <w:rsid w:val="3DD006F5"/>
    <w:rsid w:val="3DE6611C"/>
    <w:rsid w:val="3DEE6DAB"/>
    <w:rsid w:val="3DFA733B"/>
    <w:rsid w:val="3E0E4BB3"/>
    <w:rsid w:val="3E2A30D0"/>
    <w:rsid w:val="3E375EB7"/>
    <w:rsid w:val="3E3826A3"/>
    <w:rsid w:val="3E5B195E"/>
    <w:rsid w:val="3E5F0364"/>
    <w:rsid w:val="3E602562"/>
    <w:rsid w:val="3E6212E9"/>
    <w:rsid w:val="3E6D1878"/>
    <w:rsid w:val="3E7201E0"/>
    <w:rsid w:val="3E752508"/>
    <w:rsid w:val="3E767F89"/>
    <w:rsid w:val="3E790F0E"/>
    <w:rsid w:val="3E7E3AE6"/>
    <w:rsid w:val="3E906080"/>
    <w:rsid w:val="3E950C88"/>
    <w:rsid w:val="3EAA7854"/>
    <w:rsid w:val="3ED80F27"/>
    <w:rsid w:val="3ED96F6F"/>
    <w:rsid w:val="3EFC23E1"/>
    <w:rsid w:val="3F027B6D"/>
    <w:rsid w:val="3F07589C"/>
    <w:rsid w:val="3F1D63BC"/>
    <w:rsid w:val="3F2029A0"/>
    <w:rsid w:val="3F2548AA"/>
    <w:rsid w:val="3F3C0C4C"/>
    <w:rsid w:val="3F402ED5"/>
    <w:rsid w:val="3F536673"/>
    <w:rsid w:val="3F640B0B"/>
    <w:rsid w:val="3F6A6298"/>
    <w:rsid w:val="3F6A6789"/>
    <w:rsid w:val="3F6E5936"/>
    <w:rsid w:val="3F80147F"/>
    <w:rsid w:val="3FA141F3"/>
    <w:rsid w:val="3FA660FD"/>
    <w:rsid w:val="3FAD5A88"/>
    <w:rsid w:val="3FB55092"/>
    <w:rsid w:val="3FBF580A"/>
    <w:rsid w:val="3FD822E0"/>
    <w:rsid w:val="3FDF3CD8"/>
    <w:rsid w:val="3FE710E5"/>
    <w:rsid w:val="3FE945E8"/>
    <w:rsid w:val="3FEC556C"/>
    <w:rsid w:val="3FF638FD"/>
    <w:rsid w:val="3FF762AF"/>
    <w:rsid w:val="3FF86E00"/>
    <w:rsid w:val="3FFB177B"/>
    <w:rsid w:val="3FFF678B"/>
    <w:rsid w:val="400A03A0"/>
    <w:rsid w:val="400E0FA4"/>
    <w:rsid w:val="401541B2"/>
    <w:rsid w:val="40161C34"/>
    <w:rsid w:val="40204742"/>
    <w:rsid w:val="4026664B"/>
    <w:rsid w:val="402975CF"/>
    <w:rsid w:val="402A69BE"/>
    <w:rsid w:val="403149DC"/>
    <w:rsid w:val="4032245D"/>
    <w:rsid w:val="403812D5"/>
    <w:rsid w:val="40454802"/>
    <w:rsid w:val="405B02ED"/>
    <w:rsid w:val="405B10A3"/>
    <w:rsid w:val="406D6DBF"/>
    <w:rsid w:val="40720CC9"/>
    <w:rsid w:val="407225E2"/>
    <w:rsid w:val="407441CC"/>
    <w:rsid w:val="407B73DA"/>
    <w:rsid w:val="408258F3"/>
    <w:rsid w:val="40843279"/>
    <w:rsid w:val="409311FD"/>
    <w:rsid w:val="409A3D9D"/>
    <w:rsid w:val="409B660A"/>
    <w:rsid w:val="40A21306"/>
    <w:rsid w:val="40AB3194"/>
    <w:rsid w:val="40B2308A"/>
    <w:rsid w:val="40C120CD"/>
    <w:rsid w:val="40CA7159"/>
    <w:rsid w:val="40CE13E2"/>
    <w:rsid w:val="40F634A0"/>
    <w:rsid w:val="40F82226"/>
    <w:rsid w:val="40F97454"/>
    <w:rsid w:val="40FF1BB1"/>
    <w:rsid w:val="410427B6"/>
    <w:rsid w:val="41153D55"/>
    <w:rsid w:val="411A01DD"/>
    <w:rsid w:val="411E2466"/>
    <w:rsid w:val="41263FEF"/>
    <w:rsid w:val="412A6279"/>
    <w:rsid w:val="412F3F21"/>
    <w:rsid w:val="41383010"/>
    <w:rsid w:val="413B0711"/>
    <w:rsid w:val="414954A9"/>
    <w:rsid w:val="41555BA9"/>
    <w:rsid w:val="415E1BCB"/>
    <w:rsid w:val="41765073"/>
    <w:rsid w:val="418E5F9D"/>
    <w:rsid w:val="41A955F6"/>
    <w:rsid w:val="41B05FC1"/>
    <w:rsid w:val="41B8355E"/>
    <w:rsid w:val="41B90FE0"/>
    <w:rsid w:val="41BC63F9"/>
    <w:rsid w:val="41C9707C"/>
    <w:rsid w:val="41CC5A82"/>
    <w:rsid w:val="41DD5D1C"/>
    <w:rsid w:val="41EB6337"/>
    <w:rsid w:val="41EF4D3D"/>
    <w:rsid w:val="41EF618C"/>
    <w:rsid w:val="41F2243E"/>
    <w:rsid w:val="420E19CD"/>
    <w:rsid w:val="420E64EB"/>
    <w:rsid w:val="42112CF3"/>
    <w:rsid w:val="4218267E"/>
    <w:rsid w:val="4219017E"/>
    <w:rsid w:val="421C6B06"/>
    <w:rsid w:val="42245313"/>
    <w:rsid w:val="423179A5"/>
    <w:rsid w:val="42325426"/>
    <w:rsid w:val="423A60B6"/>
    <w:rsid w:val="423C2277"/>
    <w:rsid w:val="4247794A"/>
    <w:rsid w:val="42500259"/>
    <w:rsid w:val="425D1AEE"/>
    <w:rsid w:val="426A6C05"/>
    <w:rsid w:val="426E308D"/>
    <w:rsid w:val="4271078E"/>
    <w:rsid w:val="42744F96"/>
    <w:rsid w:val="42775F1B"/>
    <w:rsid w:val="427B6B1F"/>
    <w:rsid w:val="4282485E"/>
    <w:rsid w:val="428739CE"/>
    <w:rsid w:val="428D00BE"/>
    <w:rsid w:val="42941C47"/>
    <w:rsid w:val="429B0086"/>
    <w:rsid w:val="42A53BFD"/>
    <w:rsid w:val="42A95371"/>
    <w:rsid w:val="42AB29D0"/>
    <w:rsid w:val="42C24FD2"/>
    <w:rsid w:val="42C4601A"/>
    <w:rsid w:val="42C50218"/>
    <w:rsid w:val="42C71760"/>
    <w:rsid w:val="42C85704"/>
    <w:rsid w:val="42C96C1E"/>
    <w:rsid w:val="42DD1142"/>
    <w:rsid w:val="42E020C7"/>
    <w:rsid w:val="42E21D47"/>
    <w:rsid w:val="42E4524A"/>
    <w:rsid w:val="42E5074D"/>
    <w:rsid w:val="42E71A52"/>
    <w:rsid w:val="42E73C50"/>
    <w:rsid w:val="42F332E6"/>
    <w:rsid w:val="42FC76D0"/>
    <w:rsid w:val="43123A6F"/>
    <w:rsid w:val="432C4745"/>
    <w:rsid w:val="433C115C"/>
    <w:rsid w:val="433D3025"/>
    <w:rsid w:val="433E46BF"/>
    <w:rsid w:val="43484F6E"/>
    <w:rsid w:val="43547DFD"/>
    <w:rsid w:val="435A3F8F"/>
    <w:rsid w:val="435F0417"/>
    <w:rsid w:val="43624F08"/>
    <w:rsid w:val="43661FA0"/>
    <w:rsid w:val="436D772C"/>
    <w:rsid w:val="436E5F33"/>
    <w:rsid w:val="4374679B"/>
    <w:rsid w:val="43766C3A"/>
    <w:rsid w:val="437B44C4"/>
    <w:rsid w:val="438D34E4"/>
    <w:rsid w:val="43A24383"/>
    <w:rsid w:val="43BE143C"/>
    <w:rsid w:val="43C348B8"/>
    <w:rsid w:val="43C52FFD"/>
    <w:rsid w:val="43C845C3"/>
    <w:rsid w:val="43CB18B4"/>
    <w:rsid w:val="43E40670"/>
    <w:rsid w:val="43EB7FFB"/>
    <w:rsid w:val="43ED6D81"/>
    <w:rsid w:val="43F4090A"/>
    <w:rsid w:val="43F63E0D"/>
    <w:rsid w:val="43F75112"/>
    <w:rsid w:val="440356A1"/>
    <w:rsid w:val="440A08B0"/>
    <w:rsid w:val="4410023A"/>
    <w:rsid w:val="44162144"/>
    <w:rsid w:val="441652D8"/>
    <w:rsid w:val="44241459"/>
    <w:rsid w:val="44256EDB"/>
    <w:rsid w:val="442745DC"/>
    <w:rsid w:val="442B6866"/>
    <w:rsid w:val="44513222"/>
    <w:rsid w:val="44540D98"/>
    <w:rsid w:val="446C184E"/>
    <w:rsid w:val="446C50D1"/>
    <w:rsid w:val="44803D71"/>
    <w:rsid w:val="4488117E"/>
    <w:rsid w:val="44890DFE"/>
    <w:rsid w:val="44A040E0"/>
    <w:rsid w:val="44A37100"/>
    <w:rsid w:val="44A7057F"/>
    <w:rsid w:val="44AF103D"/>
    <w:rsid w:val="44B454C5"/>
    <w:rsid w:val="44E0180C"/>
    <w:rsid w:val="44E66F99"/>
    <w:rsid w:val="44E80A2E"/>
    <w:rsid w:val="44F46333"/>
    <w:rsid w:val="44F617B2"/>
    <w:rsid w:val="4510235C"/>
    <w:rsid w:val="45153B2D"/>
    <w:rsid w:val="4523357B"/>
    <w:rsid w:val="45271F81"/>
    <w:rsid w:val="45311D3B"/>
    <w:rsid w:val="453B3953"/>
    <w:rsid w:val="453C66A3"/>
    <w:rsid w:val="453F7628"/>
    <w:rsid w:val="454C21C0"/>
    <w:rsid w:val="455A7A4E"/>
    <w:rsid w:val="455C6BD8"/>
    <w:rsid w:val="45651A65"/>
    <w:rsid w:val="45765583"/>
    <w:rsid w:val="45790155"/>
    <w:rsid w:val="457A1A0B"/>
    <w:rsid w:val="45924EB3"/>
    <w:rsid w:val="459638BA"/>
    <w:rsid w:val="45A3734C"/>
    <w:rsid w:val="45A715D5"/>
    <w:rsid w:val="45C168FC"/>
    <w:rsid w:val="45C81B0A"/>
    <w:rsid w:val="45EC3A2B"/>
    <w:rsid w:val="45F33C53"/>
    <w:rsid w:val="45FB57DC"/>
    <w:rsid w:val="46080FF4"/>
    <w:rsid w:val="461B348E"/>
    <w:rsid w:val="462369A1"/>
    <w:rsid w:val="46297957"/>
    <w:rsid w:val="46366A55"/>
    <w:rsid w:val="463E4FCC"/>
    <w:rsid w:val="46523C6D"/>
    <w:rsid w:val="465813F9"/>
    <w:rsid w:val="465A48FC"/>
    <w:rsid w:val="465F5501"/>
    <w:rsid w:val="46645DD8"/>
    <w:rsid w:val="46691693"/>
    <w:rsid w:val="467576A4"/>
    <w:rsid w:val="468661A6"/>
    <w:rsid w:val="46942157"/>
    <w:rsid w:val="46BB7E19"/>
    <w:rsid w:val="46BF681F"/>
    <w:rsid w:val="46C277A4"/>
    <w:rsid w:val="46CA5237"/>
    <w:rsid w:val="46CD005E"/>
    <w:rsid w:val="46D66444"/>
    <w:rsid w:val="46DA06CE"/>
    <w:rsid w:val="46E025D7"/>
    <w:rsid w:val="46E666DE"/>
    <w:rsid w:val="46FC1F6D"/>
    <w:rsid w:val="47056F93"/>
    <w:rsid w:val="4716722E"/>
    <w:rsid w:val="47234345"/>
    <w:rsid w:val="47251A46"/>
    <w:rsid w:val="47256C62"/>
    <w:rsid w:val="47257848"/>
    <w:rsid w:val="472E0158"/>
    <w:rsid w:val="47330D5C"/>
    <w:rsid w:val="473906E7"/>
    <w:rsid w:val="47415AF3"/>
    <w:rsid w:val="474422FB"/>
    <w:rsid w:val="474657FE"/>
    <w:rsid w:val="47577C97"/>
    <w:rsid w:val="47604C2A"/>
    <w:rsid w:val="47644DAE"/>
    <w:rsid w:val="477E5958"/>
    <w:rsid w:val="47827BE2"/>
    <w:rsid w:val="47862D65"/>
    <w:rsid w:val="479E3C8F"/>
    <w:rsid w:val="47A6109B"/>
    <w:rsid w:val="47A66B1D"/>
    <w:rsid w:val="47AC1759"/>
    <w:rsid w:val="47BF1C45"/>
    <w:rsid w:val="47BF63C2"/>
    <w:rsid w:val="47C53B4E"/>
    <w:rsid w:val="47D159DD"/>
    <w:rsid w:val="47D84D6D"/>
    <w:rsid w:val="47DC5461"/>
    <w:rsid w:val="47E51E85"/>
    <w:rsid w:val="47EC180F"/>
    <w:rsid w:val="47F5689C"/>
    <w:rsid w:val="47F75622"/>
    <w:rsid w:val="47FB404A"/>
    <w:rsid w:val="48004C2D"/>
    <w:rsid w:val="48094A92"/>
    <w:rsid w:val="481438CD"/>
    <w:rsid w:val="4819662E"/>
    <w:rsid w:val="481F76E0"/>
    <w:rsid w:val="48274AEC"/>
    <w:rsid w:val="482A12F4"/>
    <w:rsid w:val="483F7F95"/>
    <w:rsid w:val="48403498"/>
    <w:rsid w:val="4843441C"/>
    <w:rsid w:val="484B78FD"/>
    <w:rsid w:val="48552138"/>
    <w:rsid w:val="485830BD"/>
    <w:rsid w:val="485C7545"/>
    <w:rsid w:val="486017CE"/>
    <w:rsid w:val="48677971"/>
    <w:rsid w:val="487A3570"/>
    <w:rsid w:val="487B2E45"/>
    <w:rsid w:val="487D32FD"/>
    <w:rsid w:val="48873C0C"/>
    <w:rsid w:val="488F1019"/>
    <w:rsid w:val="48944E85"/>
    <w:rsid w:val="489D2726"/>
    <w:rsid w:val="48B16866"/>
    <w:rsid w:val="48B819A3"/>
    <w:rsid w:val="48B91E5D"/>
    <w:rsid w:val="48BC6DC4"/>
    <w:rsid w:val="48C2276C"/>
    <w:rsid w:val="48D3456D"/>
    <w:rsid w:val="48E01D1C"/>
    <w:rsid w:val="48E155A0"/>
    <w:rsid w:val="48EB00AD"/>
    <w:rsid w:val="48F5643E"/>
    <w:rsid w:val="48F77743"/>
    <w:rsid w:val="48FA28C6"/>
    <w:rsid w:val="49030FD7"/>
    <w:rsid w:val="490E1F0B"/>
    <w:rsid w:val="49151F09"/>
    <w:rsid w:val="492E789D"/>
    <w:rsid w:val="49302DA0"/>
    <w:rsid w:val="493E5939"/>
    <w:rsid w:val="49441A41"/>
    <w:rsid w:val="49480447"/>
    <w:rsid w:val="49484E79"/>
    <w:rsid w:val="49593F65"/>
    <w:rsid w:val="496D4C9E"/>
    <w:rsid w:val="497B6BF6"/>
    <w:rsid w:val="497C541E"/>
    <w:rsid w:val="4981748A"/>
    <w:rsid w:val="498F6C43"/>
    <w:rsid w:val="49935043"/>
    <w:rsid w:val="499872CD"/>
    <w:rsid w:val="499B5CD3"/>
    <w:rsid w:val="49A2565E"/>
    <w:rsid w:val="49B4660E"/>
    <w:rsid w:val="49BB0786"/>
    <w:rsid w:val="49C84218"/>
    <w:rsid w:val="49CB0A20"/>
    <w:rsid w:val="49F14073"/>
    <w:rsid w:val="4A146896"/>
    <w:rsid w:val="4A152119"/>
    <w:rsid w:val="4A201AAF"/>
    <w:rsid w:val="4A22142F"/>
    <w:rsid w:val="4A287C4A"/>
    <w:rsid w:val="4A300E2A"/>
    <w:rsid w:val="4A38723F"/>
    <w:rsid w:val="4A416461"/>
    <w:rsid w:val="4A506A7B"/>
    <w:rsid w:val="4A691BA3"/>
    <w:rsid w:val="4A6E0229"/>
    <w:rsid w:val="4A7D2A42"/>
    <w:rsid w:val="4AA104E5"/>
    <w:rsid w:val="4AAD2600"/>
    <w:rsid w:val="4AB873A4"/>
    <w:rsid w:val="4ABD49F3"/>
    <w:rsid w:val="4AC64D68"/>
    <w:rsid w:val="4AC666BA"/>
    <w:rsid w:val="4AC7413B"/>
    <w:rsid w:val="4AE024EC"/>
    <w:rsid w:val="4AE56F6F"/>
    <w:rsid w:val="4AED1DFC"/>
    <w:rsid w:val="4AF64C8A"/>
    <w:rsid w:val="4AFD4615"/>
    <w:rsid w:val="4B0F001C"/>
    <w:rsid w:val="4B0F7DB3"/>
    <w:rsid w:val="4B1367B9"/>
    <w:rsid w:val="4B1B7449"/>
    <w:rsid w:val="4B282EDB"/>
    <w:rsid w:val="4B2F60E9"/>
    <w:rsid w:val="4B396FAF"/>
    <w:rsid w:val="4B3A447A"/>
    <w:rsid w:val="4B3F2B00"/>
    <w:rsid w:val="4B427308"/>
    <w:rsid w:val="4B5701A7"/>
    <w:rsid w:val="4B575B4C"/>
    <w:rsid w:val="4B6452BE"/>
    <w:rsid w:val="4B6607C1"/>
    <w:rsid w:val="4B666BE6"/>
    <w:rsid w:val="4B7E16EB"/>
    <w:rsid w:val="4B816DED"/>
    <w:rsid w:val="4B9C0C9C"/>
    <w:rsid w:val="4BA7122B"/>
    <w:rsid w:val="4BA9472E"/>
    <w:rsid w:val="4BB17956"/>
    <w:rsid w:val="4BB42ABF"/>
    <w:rsid w:val="4BEA681C"/>
    <w:rsid w:val="4BFE54BD"/>
    <w:rsid w:val="4C020640"/>
    <w:rsid w:val="4C0628C9"/>
    <w:rsid w:val="4C087F6D"/>
    <w:rsid w:val="4C09384E"/>
    <w:rsid w:val="4C0C69D1"/>
    <w:rsid w:val="4C0D4452"/>
    <w:rsid w:val="4C26537C"/>
    <w:rsid w:val="4C27788D"/>
    <w:rsid w:val="4C3158E1"/>
    <w:rsid w:val="4C4C303E"/>
    <w:rsid w:val="4C5D32D8"/>
    <w:rsid w:val="4C5E41C9"/>
    <w:rsid w:val="4C7B0D3F"/>
    <w:rsid w:val="4C7C5D8B"/>
    <w:rsid w:val="4C804791"/>
    <w:rsid w:val="4C835716"/>
    <w:rsid w:val="4C870899"/>
    <w:rsid w:val="4C8A729F"/>
    <w:rsid w:val="4C9F17C3"/>
    <w:rsid w:val="4CA82CE9"/>
    <w:rsid w:val="4CAD655A"/>
    <w:rsid w:val="4CB33CE7"/>
    <w:rsid w:val="4CB8016E"/>
    <w:rsid w:val="4CBD45F6"/>
    <w:rsid w:val="4CC04D08"/>
    <w:rsid w:val="4CC0735A"/>
    <w:rsid w:val="4CD751A0"/>
    <w:rsid w:val="4CD8739E"/>
    <w:rsid w:val="4CE54C35"/>
    <w:rsid w:val="4CE950BA"/>
    <w:rsid w:val="4CF002C8"/>
    <w:rsid w:val="4CF3344B"/>
    <w:rsid w:val="4CF662CC"/>
    <w:rsid w:val="4CFB40DB"/>
    <w:rsid w:val="4D056563"/>
    <w:rsid w:val="4D0C4375"/>
    <w:rsid w:val="4D1B6B8E"/>
    <w:rsid w:val="4D24529F"/>
    <w:rsid w:val="4D2C5809"/>
    <w:rsid w:val="4D2E5BAF"/>
    <w:rsid w:val="4D3C2946"/>
    <w:rsid w:val="4D3F38CB"/>
    <w:rsid w:val="4D447D52"/>
    <w:rsid w:val="4D4828C8"/>
    <w:rsid w:val="4D487DCD"/>
    <w:rsid w:val="4D4963D8"/>
    <w:rsid w:val="4D4B18DC"/>
    <w:rsid w:val="4D611881"/>
    <w:rsid w:val="4D6457C9"/>
    <w:rsid w:val="4D6C5694"/>
    <w:rsid w:val="4D7E6C33"/>
    <w:rsid w:val="4D830B3C"/>
    <w:rsid w:val="4D871908"/>
    <w:rsid w:val="4D8D144B"/>
    <w:rsid w:val="4D910D42"/>
    <w:rsid w:val="4DA8648A"/>
    <w:rsid w:val="4DAA2403"/>
    <w:rsid w:val="4DB01399"/>
    <w:rsid w:val="4DB14B03"/>
    <w:rsid w:val="4DB30006"/>
    <w:rsid w:val="4DB56D8D"/>
    <w:rsid w:val="4DB73C0B"/>
    <w:rsid w:val="4DBD1158"/>
    <w:rsid w:val="4DCB0F30"/>
    <w:rsid w:val="4DD01009"/>
    <w:rsid w:val="4DD3727F"/>
    <w:rsid w:val="4DE01EE2"/>
    <w:rsid w:val="4DF30E2D"/>
    <w:rsid w:val="4DF542F3"/>
    <w:rsid w:val="4DF64584"/>
    <w:rsid w:val="4DF6613C"/>
    <w:rsid w:val="4DFB61FC"/>
    <w:rsid w:val="4DFC7D1D"/>
    <w:rsid w:val="4E04490D"/>
    <w:rsid w:val="4E1B6731"/>
    <w:rsid w:val="4E1C7A36"/>
    <w:rsid w:val="4E2038A1"/>
    <w:rsid w:val="4E22193F"/>
    <w:rsid w:val="4E272543"/>
    <w:rsid w:val="4E2B0F4A"/>
    <w:rsid w:val="4E3166D6"/>
    <w:rsid w:val="4E3D7F6A"/>
    <w:rsid w:val="4E4478F5"/>
    <w:rsid w:val="4E4C0585"/>
    <w:rsid w:val="4E4F40EB"/>
    <w:rsid w:val="4E4F782C"/>
    <w:rsid w:val="4E5630FE"/>
    <w:rsid w:val="4E594017"/>
    <w:rsid w:val="4E5A1A99"/>
    <w:rsid w:val="4E7116BE"/>
    <w:rsid w:val="4E753947"/>
    <w:rsid w:val="4E7A454C"/>
    <w:rsid w:val="4E7B76FB"/>
    <w:rsid w:val="4E7F4255"/>
    <w:rsid w:val="4E853BE2"/>
    <w:rsid w:val="4E856160"/>
    <w:rsid w:val="4E861DDE"/>
    <w:rsid w:val="4E892CDD"/>
    <w:rsid w:val="4E8B2268"/>
    <w:rsid w:val="4E940979"/>
    <w:rsid w:val="4EB50EAE"/>
    <w:rsid w:val="4EBA2DB7"/>
    <w:rsid w:val="4EBB0839"/>
    <w:rsid w:val="4EC15FC5"/>
    <w:rsid w:val="4ECA6880"/>
    <w:rsid w:val="4ED571E4"/>
    <w:rsid w:val="4ED748E6"/>
    <w:rsid w:val="4ED767C8"/>
    <w:rsid w:val="4ED82367"/>
    <w:rsid w:val="4EE306F8"/>
    <w:rsid w:val="4EE82601"/>
    <w:rsid w:val="4EEF1F8C"/>
    <w:rsid w:val="4EF61917"/>
    <w:rsid w:val="4EFD16A2"/>
    <w:rsid w:val="4F0963B9"/>
    <w:rsid w:val="4F147FCE"/>
    <w:rsid w:val="4F252466"/>
    <w:rsid w:val="4F2946F0"/>
    <w:rsid w:val="4F2B1B4F"/>
    <w:rsid w:val="4F2F65F9"/>
    <w:rsid w:val="4F3A6B88"/>
    <w:rsid w:val="4F4A13A1"/>
    <w:rsid w:val="4F4B6E23"/>
    <w:rsid w:val="4F6F15E1"/>
    <w:rsid w:val="4F722566"/>
    <w:rsid w:val="4F884709"/>
    <w:rsid w:val="4F901B16"/>
    <w:rsid w:val="4F9B7EA7"/>
    <w:rsid w:val="4FA32D35"/>
    <w:rsid w:val="4FD2167A"/>
    <w:rsid w:val="4FD34245"/>
    <w:rsid w:val="4FD41305"/>
    <w:rsid w:val="4FE33B1E"/>
    <w:rsid w:val="4FEB0F2B"/>
    <w:rsid w:val="4FEC222F"/>
    <w:rsid w:val="4FFA3743"/>
    <w:rsid w:val="50035120"/>
    <w:rsid w:val="501E15B3"/>
    <w:rsid w:val="50215497"/>
    <w:rsid w:val="502F619C"/>
    <w:rsid w:val="50355FCF"/>
    <w:rsid w:val="50463059"/>
    <w:rsid w:val="50484B47"/>
    <w:rsid w:val="5073598C"/>
    <w:rsid w:val="507B4F96"/>
    <w:rsid w:val="507C62DD"/>
    <w:rsid w:val="507D3D1D"/>
    <w:rsid w:val="50897B2F"/>
    <w:rsid w:val="509937A3"/>
    <w:rsid w:val="50AF23DB"/>
    <w:rsid w:val="50D137A7"/>
    <w:rsid w:val="50D643AB"/>
    <w:rsid w:val="50DB14A0"/>
    <w:rsid w:val="50DD17B8"/>
    <w:rsid w:val="50DD2090"/>
    <w:rsid w:val="50E336C1"/>
    <w:rsid w:val="50F129D7"/>
    <w:rsid w:val="510709F3"/>
    <w:rsid w:val="5110328B"/>
    <w:rsid w:val="51147713"/>
    <w:rsid w:val="512B18B7"/>
    <w:rsid w:val="51380BCD"/>
    <w:rsid w:val="513D08D8"/>
    <w:rsid w:val="513E2AD6"/>
    <w:rsid w:val="51472F87"/>
    <w:rsid w:val="514D52EF"/>
    <w:rsid w:val="516D5D9B"/>
    <w:rsid w:val="51853BCA"/>
    <w:rsid w:val="518B6458"/>
    <w:rsid w:val="518C0657"/>
    <w:rsid w:val="5190705D"/>
    <w:rsid w:val="519412E6"/>
    <w:rsid w:val="519434E5"/>
    <w:rsid w:val="519D6372"/>
    <w:rsid w:val="519F1876"/>
    <w:rsid w:val="51AC698D"/>
    <w:rsid w:val="51C20B31"/>
    <w:rsid w:val="51CA5F3D"/>
    <w:rsid w:val="51CC6EC2"/>
    <w:rsid w:val="51DD2DDF"/>
    <w:rsid w:val="51E44568"/>
    <w:rsid w:val="52007CE1"/>
    <w:rsid w:val="52044E1D"/>
    <w:rsid w:val="520A5B5C"/>
    <w:rsid w:val="521460A3"/>
    <w:rsid w:val="5217023B"/>
    <w:rsid w:val="521A11BF"/>
    <w:rsid w:val="52347B6B"/>
    <w:rsid w:val="52432384"/>
    <w:rsid w:val="524E2FBC"/>
    <w:rsid w:val="525C76C9"/>
    <w:rsid w:val="525D67B1"/>
    <w:rsid w:val="52607735"/>
    <w:rsid w:val="526306BA"/>
    <w:rsid w:val="52684B42"/>
    <w:rsid w:val="52781559"/>
    <w:rsid w:val="527E6CE5"/>
    <w:rsid w:val="528B199C"/>
    <w:rsid w:val="529B0814"/>
    <w:rsid w:val="52B34662"/>
    <w:rsid w:val="52C051D0"/>
    <w:rsid w:val="52C2215D"/>
    <w:rsid w:val="52C54EDB"/>
    <w:rsid w:val="52D65176"/>
    <w:rsid w:val="52E3448B"/>
    <w:rsid w:val="52E96395"/>
    <w:rsid w:val="531910E2"/>
    <w:rsid w:val="531D336C"/>
    <w:rsid w:val="53211D72"/>
    <w:rsid w:val="532277F3"/>
    <w:rsid w:val="532E5804"/>
    <w:rsid w:val="53320ECF"/>
    <w:rsid w:val="53376114"/>
    <w:rsid w:val="534244A5"/>
    <w:rsid w:val="53440A37"/>
    <w:rsid w:val="534741B0"/>
    <w:rsid w:val="53537FC2"/>
    <w:rsid w:val="535940CA"/>
    <w:rsid w:val="53606C6E"/>
    <w:rsid w:val="536A7BE8"/>
    <w:rsid w:val="536C30EB"/>
    <w:rsid w:val="537A7E82"/>
    <w:rsid w:val="537E210B"/>
    <w:rsid w:val="53944F39"/>
    <w:rsid w:val="53A839AB"/>
    <w:rsid w:val="53B04AD9"/>
    <w:rsid w:val="53E21E30"/>
    <w:rsid w:val="53E64FB3"/>
    <w:rsid w:val="53EB143A"/>
    <w:rsid w:val="53F50937"/>
    <w:rsid w:val="53FF395E"/>
    <w:rsid w:val="541325FF"/>
    <w:rsid w:val="54216091"/>
    <w:rsid w:val="543350B2"/>
    <w:rsid w:val="54471A02"/>
    <w:rsid w:val="54491B51"/>
    <w:rsid w:val="544A1AF3"/>
    <w:rsid w:val="544F115F"/>
    <w:rsid w:val="547366AF"/>
    <w:rsid w:val="547558FB"/>
    <w:rsid w:val="547776B8"/>
    <w:rsid w:val="549A1404"/>
    <w:rsid w:val="54A75C14"/>
    <w:rsid w:val="54B42188"/>
    <w:rsid w:val="54C05F9B"/>
    <w:rsid w:val="54D95840"/>
    <w:rsid w:val="54DA0D43"/>
    <w:rsid w:val="54E64B55"/>
    <w:rsid w:val="54E725D7"/>
    <w:rsid w:val="54F31C6D"/>
    <w:rsid w:val="54F33E6B"/>
    <w:rsid w:val="54FA4CB4"/>
    <w:rsid w:val="5510379B"/>
    <w:rsid w:val="551B53B0"/>
    <w:rsid w:val="552846C5"/>
    <w:rsid w:val="55383F31"/>
    <w:rsid w:val="553C3366"/>
    <w:rsid w:val="554716F7"/>
    <w:rsid w:val="55674F5D"/>
    <w:rsid w:val="556E15B6"/>
    <w:rsid w:val="55797948"/>
    <w:rsid w:val="557D3DCF"/>
    <w:rsid w:val="55866C5D"/>
    <w:rsid w:val="55897BE2"/>
    <w:rsid w:val="55935C72"/>
    <w:rsid w:val="55990DAE"/>
    <w:rsid w:val="55B13325"/>
    <w:rsid w:val="55E16072"/>
    <w:rsid w:val="55E46FF7"/>
    <w:rsid w:val="55E65D7D"/>
    <w:rsid w:val="55EB2B55"/>
    <w:rsid w:val="55FA119A"/>
    <w:rsid w:val="56062190"/>
    <w:rsid w:val="560C4938"/>
    <w:rsid w:val="56143AAD"/>
    <w:rsid w:val="561A16CF"/>
    <w:rsid w:val="561B7151"/>
    <w:rsid w:val="56241FDF"/>
    <w:rsid w:val="563325F9"/>
    <w:rsid w:val="56355AFC"/>
    <w:rsid w:val="565902BA"/>
    <w:rsid w:val="56642DC8"/>
    <w:rsid w:val="566D5AC2"/>
    <w:rsid w:val="567D5EF0"/>
    <w:rsid w:val="56827DFA"/>
    <w:rsid w:val="568432FD"/>
    <w:rsid w:val="56893008"/>
    <w:rsid w:val="56B70654"/>
    <w:rsid w:val="56B71649"/>
    <w:rsid w:val="56BE21DD"/>
    <w:rsid w:val="56C34D75"/>
    <w:rsid w:val="56D44381"/>
    <w:rsid w:val="56DB3D0C"/>
    <w:rsid w:val="56E23696"/>
    <w:rsid w:val="56E968A5"/>
    <w:rsid w:val="56EA6524"/>
    <w:rsid w:val="56EB1DA8"/>
    <w:rsid w:val="56EF4990"/>
    <w:rsid w:val="56F0042E"/>
    <w:rsid w:val="570C7D5E"/>
    <w:rsid w:val="571A082A"/>
    <w:rsid w:val="571B0378"/>
    <w:rsid w:val="57214480"/>
    <w:rsid w:val="572528F9"/>
    <w:rsid w:val="5729188C"/>
    <w:rsid w:val="572A2B91"/>
    <w:rsid w:val="57391B27"/>
    <w:rsid w:val="57432436"/>
    <w:rsid w:val="57497BC3"/>
    <w:rsid w:val="575667ED"/>
    <w:rsid w:val="576C76A0"/>
    <w:rsid w:val="576F457F"/>
    <w:rsid w:val="57707A82"/>
    <w:rsid w:val="578C2978"/>
    <w:rsid w:val="578F4AB4"/>
    <w:rsid w:val="579C6348"/>
    <w:rsid w:val="579E50CE"/>
    <w:rsid w:val="57A7215B"/>
    <w:rsid w:val="57AE1ECF"/>
    <w:rsid w:val="57D72CAA"/>
    <w:rsid w:val="57DA16B0"/>
    <w:rsid w:val="57E3453E"/>
    <w:rsid w:val="57E654C3"/>
    <w:rsid w:val="57F3045D"/>
    <w:rsid w:val="580662AB"/>
    <w:rsid w:val="58086CFC"/>
    <w:rsid w:val="58242DA9"/>
    <w:rsid w:val="5825126E"/>
    <w:rsid w:val="583B12A8"/>
    <w:rsid w:val="583B29CE"/>
    <w:rsid w:val="585E3E88"/>
    <w:rsid w:val="5860518C"/>
    <w:rsid w:val="586A351D"/>
    <w:rsid w:val="586B0F9F"/>
    <w:rsid w:val="58712EA8"/>
    <w:rsid w:val="587305AA"/>
    <w:rsid w:val="5896478A"/>
    <w:rsid w:val="58A15BF6"/>
    <w:rsid w:val="58A3236C"/>
    <w:rsid w:val="58AB1D89"/>
    <w:rsid w:val="58B15E90"/>
    <w:rsid w:val="58BC4221"/>
    <w:rsid w:val="58C44EB1"/>
    <w:rsid w:val="58C603B4"/>
    <w:rsid w:val="58C91339"/>
    <w:rsid w:val="58CA6DBA"/>
    <w:rsid w:val="58CF0CC3"/>
    <w:rsid w:val="58D4514B"/>
    <w:rsid w:val="58DA7055"/>
    <w:rsid w:val="58E10BDE"/>
    <w:rsid w:val="58E80569"/>
    <w:rsid w:val="58F55680"/>
    <w:rsid w:val="59032417"/>
    <w:rsid w:val="591326B2"/>
    <w:rsid w:val="591C0DC3"/>
    <w:rsid w:val="591C553F"/>
    <w:rsid w:val="5924294C"/>
    <w:rsid w:val="59346469"/>
    <w:rsid w:val="59384E70"/>
    <w:rsid w:val="593A2B07"/>
    <w:rsid w:val="593E34F6"/>
    <w:rsid w:val="5941447A"/>
    <w:rsid w:val="59466FA9"/>
    <w:rsid w:val="59537C18"/>
    <w:rsid w:val="59571EA1"/>
    <w:rsid w:val="5961385B"/>
    <w:rsid w:val="59771E25"/>
    <w:rsid w:val="59803066"/>
    <w:rsid w:val="59843C6A"/>
    <w:rsid w:val="598516EC"/>
    <w:rsid w:val="59893975"/>
    <w:rsid w:val="598D237B"/>
    <w:rsid w:val="59913375"/>
    <w:rsid w:val="59926803"/>
    <w:rsid w:val="59941D06"/>
    <w:rsid w:val="599E2575"/>
    <w:rsid w:val="59A5419F"/>
    <w:rsid w:val="59A95DD6"/>
    <w:rsid w:val="59AD702D"/>
    <w:rsid w:val="59C63F80"/>
    <w:rsid w:val="59D20608"/>
    <w:rsid w:val="59D601F1"/>
    <w:rsid w:val="59DE0E81"/>
    <w:rsid w:val="59E31A85"/>
    <w:rsid w:val="59E35308"/>
    <w:rsid w:val="59E97212"/>
    <w:rsid w:val="59EF71EF"/>
    <w:rsid w:val="59F70726"/>
    <w:rsid w:val="5A02233A"/>
    <w:rsid w:val="5A033D93"/>
    <w:rsid w:val="5A0532BF"/>
    <w:rsid w:val="5A0554BD"/>
    <w:rsid w:val="5A0E3BCE"/>
    <w:rsid w:val="5A1F18EA"/>
    <w:rsid w:val="5A332B09"/>
    <w:rsid w:val="5A4440A8"/>
    <w:rsid w:val="5A47502D"/>
    <w:rsid w:val="5A4B3A33"/>
    <w:rsid w:val="5A5255BC"/>
    <w:rsid w:val="5A68082D"/>
    <w:rsid w:val="5A7B2EFD"/>
    <w:rsid w:val="5A82610B"/>
    <w:rsid w:val="5A864B12"/>
    <w:rsid w:val="5AA47FD9"/>
    <w:rsid w:val="5AA553C6"/>
    <w:rsid w:val="5AB5116E"/>
    <w:rsid w:val="5AB77299"/>
    <w:rsid w:val="5ACF2987"/>
    <w:rsid w:val="5AD52312"/>
    <w:rsid w:val="5AE006A3"/>
    <w:rsid w:val="5AEC372E"/>
    <w:rsid w:val="5AF641B2"/>
    <w:rsid w:val="5B13515F"/>
    <w:rsid w:val="5B1A2E07"/>
    <w:rsid w:val="5B251198"/>
    <w:rsid w:val="5B253396"/>
    <w:rsid w:val="5B2D4026"/>
    <w:rsid w:val="5B3845B5"/>
    <w:rsid w:val="5B424EC5"/>
    <w:rsid w:val="5B432946"/>
    <w:rsid w:val="5B4C1057"/>
    <w:rsid w:val="5B4D3256"/>
    <w:rsid w:val="5B4E0CD7"/>
    <w:rsid w:val="5B6B6089"/>
    <w:rsid w:val="5B6E700E"/>
    <w:rsid w:val="5B6E74F3"/>
    <w:rsid w:val="5B786E00"/>
    <w:rsid w:val="5B794C54"/>
    <w:rsid w:val="5B7D50AA"/>
    <w:rsid w:val="5B80602E"/>
    <w:rsid w:val="5B81022D"/>
    <w:rsid w:val="5B821531"/>
    <w:rsid w:val="5B895639"/>
    <w:rsid w:val="5B8A78EA"/>
    <w:rsid w:val="5B8D246F"/>
    <w:rsid w:val="5B8E2667"/>
    <w:rsid w:val="5B900847"/>
    <w:rsid w:val="5B9958D3"/>
    <w:rsid w:val="5BA16563"/>
    <w:rsid w:val="5BB36AB1"/>
    <w:rsid w:val="5BC361AC"/>
    <w:rsid w:val="5BCD2243"/>
    <w:rsid w:val="5BCF5DAD"/>
    <w:rsid w:val="5BD9413E"/>
    <w:rsid w:val="5BE659D3"/>
    <w:rsid w:val="5BEB1E5A"/>
    <w:rsid w:val="5C0A687A"/>
    <w:rsid w:val="5C0C4088"/>
    <w:rsid w:val="5C12559D"/>
    <w:rsid w:val="5C17652D"/>
    <w:rsid w:val="5C224533"/>
    <w:rsid w:val="5C2B06C5"/>
    <w:rsid w:val="5C526387"/>
    <w:rsid w:val="5C5B1215"/>
    <w:rsid w:val="5C705937"/>
    <w:rsid w:val="5C74433D"/>
    <w:rsid w:val="5C761A3E"/>
    <w:rsid w:val="5C7D13C9"/>
    <w:rsid w:val="5C8332D2"/>
    <w:rsid w:val="5C8A3266"/>
    <w:rsid w:val="5C9A677B"/>
    <w:rsid w:val="5C9B41FC"/>
    <w:rsid w:val="5C9E5181"/>
    <w:rsid w:val="5CA22C3E"/>
    <w:rsid w:val="5CB47325"/>
    <w:rsid w:val="5CB54F34"/>
    <w:rsid w:val="5CB97030"/>
    <w:rsid w:val="5CC91849"/>
    <w:rsid w:val="5CCF5950"/>
    <w:rsid w:val="5CD22158"/>
    <w:rsid w:val="5CD268D5"/>
    <w:rsid w:val="5CDC4C66"/>
    <w:rsid w:val="5CDF39EC"/>
    <w:rsid w:val="5CE110EE"/>
    <w:rsid w:val="5CE4116B"/>
    <w:rsid w:val="5CEE2982"/>
    <w:rsid w:val="5CFA3628"/>
    <w:rsid w:val="5D12136C"/>
    <w:rsid w:val="5D214E4E"/>
    <w:rsid w:val="5D2A05E8"/>
    <w:rsid w:val="5D2B606A"/>
    <w:rsid w:val="5D2C46F9"/>
    <w:rsid w:val="5D346979"/>
    <w:rsid w:val="5D3A0883"/>
    <w:rsid w:val="5D3F1487"/>
    <w:rsid w:val="5D474315"/>
    <w:rsid w:val="5D4E3CA0"/>
    <w:rsid w:val="5D4E7523"/>
    <w:rsid w:val="5D5E0FF9"/>
    <w:rsid w:val="5D612CC1"/>
    <w:rsid w:val="5D617D3E"/>
    <w:rsid w:val="5D86767D"/>
    <w:rsid w:val="5DD60701"/>
    <w:rsid w:val="5DE16A92"/>
    <w:rsid w:val="5DE93B37"/>
    <w:rsid w:val="5DEE088E"/>
    <w:rsid w:val="5DF247AE"/>
    <w:rsid w:val="5E0A56D8"/>
    <w:rsid w:val="5E0F1B60"/>
    <w:rsid w:val="5E2D1110"/>
    <w:rsid w:val="5E2E0A91"/>
    <w:rsid w:val="5E3774A1"/>
    <w:rsid w:val="5E3C4031"/>
    <w:rsid w:val="5E4332B3"/>
    <w:rsid w:val="5E464238"/>
    <w:rsid w:val="5E47553D"/>
    <w:rsid w:val="5E515E4C"/>
    <w:rsid w:val="5E567D56"/>
    <w:rsid w:val="5E5C63DC"/>
    <w:rsid w:val="5E80490E"/>
    <w:rsid w:val="5E863619"/>
    <w:rsid w:val="5E9F5BCB"/>
    <w:rsid w:val="5EC37085"/>
    <w:rsid w:val="5EE83449"/>
    <w:rsid w:val="5EE85FC0"/>
    <w:rsid w:val="5EEB27C8"/>
    <w:rsid w:val="5EFF6697"/>
    <w:rsid w:val="5F0458F0"/>
    <w:rsid w:val="5F0842F6"/>
    <w:rsid w:val="5F0E1A83"/>
    <w:rsid w:val="5F14140D"/>
    <w:rsid w:val="5F1772E4"/>
    <w:rsid w:val="5F1D429B"/>
    <w:rsid w:val="5F2D4536"/>
    <w:rsid w:val="5F32513A"/>
    <w:rsid w:val="5F4253D5"/>
    <w:rsid w:val="5F482CD8"/>
    <w:rsid w:val="5F4B3AE6"/>
    <w:rsid w:val="5F744CAA"/>
    <w:rsid w:val="5F7A4635"/>
    <w:rsid w:val="5F7B20B7"/>
    <w:rsid w:val="5F900D57"/>
    <w:rsid w:val="5FA77E3C"/>
    <w:rsid w:val="5FB0128C"/>
    <w:rsid w:val="5FB10E83"/>
    <w:rsid w:val="5FE2196B"/>
    <w:rsid w:val="5FE8367E"/>
    <w:rsid w:val="5FEA48E9"/>
    <w:rsid w:val="5FEC2A61"/>
    <w:rsid w:val="5FF466CF"/>
    <w:rsid w:val="5FFF488E"/>
    <w:rsid w:val="60055270"/>
    <w:rsid w:val="600D5DA2"/>
    <w:rsid w:val="60184992"/>
    <w:rsid w:val="601E603C"/>
    <w:rsid w:val="602A56D2"/>
    <w:rsid w:val="603A596D"/>
    <w:rsid w:val="60516A15"/>
    <w:rsid w:val="605807A0"/>
    <w:rsid w:val="6059299E"/>
    <w:rsid w:val="60594478"/>
    <w:rsid w:val="605F2329"/>
    <w:rsid w:val="60636B31"/>
    <w:rsid w:val="607E1424"/>
    <w:rsid w:val="60875A6C"/>
    <w:rsid w:val="608C1EF4"/>
    <w:rsid w:val="60924BE4"/>
    <w:rsid w:val="60AD3417"/>
    <w:rsid w:val="60B430B8"/>
    <w:rsid w:val="60CB525C"/>
    <w:rsid w:val="60CD61E0"/>
    <w:rsid w:val="60D07165"/>
    <w:rsid w:val="60DF3EFC"/>
    <w:rsid w:val="60E40384"/>
    <w:rsid w:val="60EB5790"/>
    <w:rsid w:val="60F17ED2"/>
    <w:rsid w:val="610750C1"/>
    <w:rsid w:val="610A27C2"/>
    <w:rsid w:val="6124336C"/>
    <w:rsid w:val="612620F2"/>
    <w:rsid w:val="612E16FD"/>
    <w:rsid w:val="6130003E"/>
    <w:rsid w:val="61365E42"/>
    <w:rsid w:val="61397A8E"/>
    <w:rsid w:val="614C4F26"/>
    <w:rsid w:val="61585C3E"/>
    <w:rsid w:val="617761CF"/>
    <w:rsid w:val="618A1E17"/>
    <w:rsid w:val="618D2D9B"/>
    <w:rsid w:val="619C7B32"/>
    <w:rsid w:val="61AD5877"/>
    <w:rsid w:val="61B3653A"/>
    <w:rsid w:val="61B473D7"/>
    <w:rsid w:val="61D91B96"/>
    <w:rsid w:val="61DD7C66"/>
    <w:rsid w:val="61EF75BD"/>
    <w:rsid w:val="61F0503E"/>
    <w:rsid w:val="61FD68D2"/>
    <w:rsid w:val="620121B5"/>
    <w:rsid w:val="6204625D"/>
    <w:rsid w:val="62151563"/>
    <w:rsid w:val="622D1620"/>
    <w:rsid w:val="623D6F8B"/>
    <w:rsid w:val="624337C3"/>
    <w:rsid w:val="624F5057"/>
    <w:rsid w:val="625309BA"/>
    <w:rsid w:val="62533A5E"/>
    <w:rsid w:val="62585CEA"/>
    <w:rsid w:val="62587EE5"/>
    <w:rsid w:val="62683102"/>
    <w:rsid w:val="626A4231"/>
    <w:rsid w:val="6271541F"/>
    <w:rsid w:val="62872FB3"/>
    <w:rsid w:val="62920D36"/>
    <w:rsid w:val="6292482E"/>
    <w:rsid w:val="629923ED"/>
    <w:rsid w:val="62A0195F"/>
    <w:rsid w:val="62A969EB"/>
    <w:rsid w:val="62B13DF7"/>
    <w:rsid w:val="62B250FC"/>
    <w:rsid w:val="62B3538E"/>
    <w:rsid w:val="62BD348D"/>
    <w:rsid w:val="62C32E18"/>
    <w:rsid w:val="62C83A1C"/>
    <w:rsid w:val="62CA27A3"/>
    <w:rsid w:val="62CB0224"/>
    <w:rsid w:val="62D665B5"/>
    <w:rsid w:val="62DA63F9"/>
    <w:rsid w:val="62E27E4A"/>
    <w:rsid w:val="62E50DCE"/>
    <w:rsid w:val="63007C0B"/>
    <w:rsid w:val="630136EC"/>
    <w:rsid w:val="63014E7B"/>
    <w:rsid w:val="63064B86"/>
    <w:rsid w:val="63097D09"/>
    <w:rsid w:val="63164E21"/>
    <w:rsid w:val="631E222D"/>
    <w:rsid w:val="632750BB"/>
    <w:rsid w:val="632772B9"/>
    <w:rsid w:val="634A36E8"/>
    <w:rsid w:val="634E142A"/>
    <w:rsid w:val="634E16F7"/>
    <w:rsid w:val="63515EFF"/>
    <w:rsid w:val="635C1D12"/>
    <w:rsid w:val="63696E29"/>
    <w:rsid w:val="6374011C"/>
    <w:rsid w:val="637473B8"/>
    <w:rsid w:val="63833E68"/>
    <w:rsid w:val="63845454"/>
    <w:rsid w:val="6399641E"/>
    <w:rsid w:val="639A75F8"/>
    <w:rsid w:val="639F58B4"/>
    <w:rsid w:val="63A57B87"/>
    <w:rsid w:val="63A65609"/>
    <w:rsid w:val="63A70E8C"/>
    <w:rsid w:val="63B0179C"/>
    <w:rsid w:val="63BE0AB1"/>
    <w:rsid w:val="63C274B8"/>
    <w:rsid w:val="63C86E42"/>
    <w:rsid w:val="63FA2732"/>
    <w:rsid w:val="64055F8C"/>
    <w:rsid w:val="641053E9"/>
    <w:rsid w:val="64145C3D"/>
    <w:rsid w:val="642D308F"/>
    <w:rsid w:val="642E206A"/>
    <w:rsid w:val="643903FB"/>
    <w:rsid w:val="64407D86"/>
    <w:rsid w:val="6441108B"/>
    <w:rsid w:val="64475192"/>
    <w:rsid w:val="646E75D0"/>
    <w:rsid w:val="64710555"/>
    <w:rsid w:val="6472185A"/>
    <w:rsid w:val="64725FD6"/>
    <w:rsid w:val="64744D5D"/>
    <w:rsid w:val="64814073"/>
    <w:rsid w:val="64837576"/>
    <w:rsid w:val="648900B5"/>
    <w:rsid w:val="648F1CFA"/>
    <w:rsid w:val="649B75DE"/>
    <w:rsid w:val="649E5BA1"/>
    <w:rsid w:val="64A62FAD"/>
    <w:rsid w:val="64A977B5"/>
    <w:rsid w:val="64AB2CB8"/>
    <w:rsid w:val="64B22643"/>
    <w:rsid w:val="64B4350F"/>
    <w:rsid w:val="64BE613B"/>
    <w:rsid w:val="64C72E1E"/>
    <w:rsid w:val="64DD5792"/>
    <w:rsid w:val="64E1790F"/>
    <w:rsid w:val="64EC3722"/>
    <w:rsid w:val="64FA04E8"/>
    <w:rsid w:val="64FD143E"/>
    <w:rsid w:val="64FF4941"/>
    <w:rsid w:val="65095250"/>
    <w:rsid w:val="650E16D8"/>
    <w:rsid w:val="651313E3"/>
    <w:rsid w:val="651932EC"/>
    <w:rsid w:val="651D7774"/>
    <w:rsid w:val="652D418B"/>
    <w:rsid w:val="65326415"/>
    <w:rsid w:val="6533396A"/>
    <w:rsid w:val="6536289C"/>
    <w:rsid w:val="653D105F"/>
    <w:rsid w:val="654153AA"/>
    <w:rsid w:val="655B110E"/>
    <w:rsid w:val="655D5279"/>
    <w:rsid w:val="656D07F8"/>
    <w:rsid w:val="656E29F6"/>
    <w:rsid w:val="65775884"/>
    <w:rsid w:val="65863920"/>
    <w:rsid w:val="658B4525"/>
    <w:rsid w:val="658C1FA6"/>
    <w:rsid w:val="658F04F8"/>
    <w:rsid w:val="658F1DC0"/>
    <w:rsid w:val="65A4764D"/>
    <w:rsid w:val="65A73E55"/>
    <w:rsid w:val="65AA1556"/>
    <w:rsid w:val="65B16963"/>
    <w:rsid w:val="65BD2710"/>
    <w:rsid w:val="65C13798"/>
    <w:rsid w:val="65C53405"/>
    <w:rsid w:val="65C63A60"/>
    <w:rsid w:val="65E53944"/>
    <w:rsid w:val="65EE0CA2"/>
    <w:rsid w:val="65EE670F"/>
    <w:rsid w:val="65F8295A"/>
    <w:rsid w:val="65F94B59"/>
    <w:rsid w:val="65FB005C"/>
    <w:rsid w:val="65FD6DE2"/>
    <w:rsid w:val="66063E6E"/>
    <w:rsid w:val="661170F7"/>
    <w:rsid w:val="66161F0A"/>
    <w:rsid w:val="661C3E14"/>
    <w:rsid w:val="66356F3C"/>
    <w:rsid w:val="66375CC2"/>
    <w:rsid w:val="663D39AB"/>
    <w:rsid w:val="664C2FA5"/>
    <w:rsid w:val="664E58E8"/>
    <w:rsid w:val="665477F1"/>
    <w:rsid w:val="66595E77"/>
    <w:rsid w:val="66662F8E"/>
    <w:rsid w:val="66670A10"/>
    <w:rsid w:val="666A1995"/>
    <w:rsid w:val="66716DA1"/>
    <w:rsid w:val="66790820"/>
    <w:rsid w:val="667F664F"/>
    <w:rsid w:val="668869C6"/>
    <w:rsid w:val="6695289C"/>
    <w:rsid w:val="669A46E2"/>
    <w:rsid w:val="66A178F0"/>
    <w:rsid w:val="66A25372"/>
    <w:rsid w:val="66A84CFD"/>
    <w:rsid w:val="66AB23FE"/>
    <w:rsid w:val="66AC7E7F"/>
    <w:rsid w:val="66BA2A18"/>
    <w:rsid w:val="66BA3080"/>
    <w:rsid w:val="66C52FA8"/>
    <w:rsid w:val="66CD3C37"/>
    <w:rsid w:val="66D6750E"/>
    <w:rsid w:val="66DD3ED2"/>
    <w:rsid w:val="66E55A5B"/>
    <w:rsid w:val="66E634DC"/>
    <w:rsid w:val="66F51579"/>
    <w:rsid w:val="66FE4406"/>
    <w:rsid w:val="66FF570B"/>
    <w:rsid w:val="67130B29"/>
    <w:rsid w:val="671C39B6"/>
    <w:rsid w:val="67223341"/>
    <w:rsid w:val="67230DC3"/>
    <w:rsid w:val="67390D68"/>
    <w:rsid w:val="673E6400"/>
    <w:rsid w:val="67420DCC"/>
    <w:rsid w:val="67562897"/>
    <w:rsid w:val="67686034"/>
    <w:rsid w:val="677279E7"/>
    <w:rsid w:val="677A5055"/>
    <w:rsid w:val="67837EE3"/>
    <w:rsid w:val="678533E6"/>
    <w:rsid w:val="678A1A6C"/>
    <w:rsid w:val="678F5EF4"/>
    <w:rsid w:val="679348FA"/>
    <w:rsid w:val="67945BFF"/>
    <w:rsid w:val="67973300"/>
    <w:rsid w:val="67A17493"/>
    <w:rsid w:val="67B90814"/>
    <w:rsid w:val="67D07A51"/>
    <w:rsid w:val="67D16185"/>
    <w:rsid w:val="67DB0571"/>
    <w:rsid w:val="67DB6373"/>
    <w:rsid w:val="67E46C83"/>
    <w:rsid w:val="67EC080C"/>
    <w:rsid w:val="67EF5014"/>
    <w:rsid w:val="67FF52AE"/>
    <w:rsid w:val="68007FF7"/>
    <w:rsid w:val="680107B1"/>
    <w:rsid w:val="68041736"/>
    <w:rsid w:val="680726BA"/>
    <w:rsid w:val="683A360D"/>
    <w:rsid w:val="6844471E"/>
    <w:rsid w:val="68465A22"/>
    <w:rsid w:val="684B2DCF"/>
    <w:rsid w:val="684B396E"/>
    <w:rsid w:val="685C7BC6"/>
    <w:rsid w:val="685E30C9"/>
    <w:rsid w:val="686A10DA"/>
    <w:rsid w:val="686C76D4"/>
    <w:rsid w:val="687B4BF8"/>
    <w:rsid w:val="6890131A"/>
    <w:rsid w:val="68997A2B"/>
    <w:rsid w:val="68A17036"/>
    <w:rsid w:val="68A82244"/>
    <w:rsid w:val="68AA1EC4"/>
    <w:rsid w:val="68AD66CB"/>
    <w:rsid w:val="68AF2E36"/>
    <w:rsid w:val="68B74A5D"/>
    <w:rsid w:val="68C00A3C"/>
    <w:rsid w:val="68C53D72"/>
    <w:rsid w:val="68CB16C8"/>
    <w:rsid w:val="68EF4BB6"/>
    <w:rsid w:val="68F71FC3"/>
    <w:rsid w:val="69090FE4"/>
    <w:rsid w:val="690A7750"/>
    <w:rsid w:val="690C4517"/>
    <w:rsid w:val="690C66E5"/>
    <w:rsid w:val="69124F8D"/>
    <w:rsid w:val="69192BEE"/>
    <w:rsid w:val="692C5D69"/>
    <w:rsid w:val="69326925"/>
    <w:rsid w:val="693343A6"/>
    <w:rsid w:val="69393AB2"/>
    <w:rsid w:val="694B1A4D"/>
    <w:rsid w:val="6957062C"/>
    <w:rsid w:val="69613BF1"/>
    <w:rsid w:val="69621672"/>
    <w:rsid w:val="69847A77"/>
    <w:rsid w:val="69863E30"/>
    <w:rsid w:val="69887333"/>
    <w:rsid w:val="699704A6"/>
    <w:rsid w:val="69B31FE7"/>
    <w:rsid w:val="69C45E93"/>
    <w:rsid w:val="69C60B52"/>
    <w:rsid w:val="69D925B6"/>
    <w:rsid w:val="69E40947"/>
    <w:rsid w:val="69E51C4B"/>
    <w:rsid w:val="69EC15D6"/>
    <w:rsid w:val="69F40BE1"/>
    <w:rsid w:val="69F76FB2"/>
    <w:rsid w:val="69FB11DD"/>
    <w:rsid w:val="6A04249A"/>
    <w:rsid w:val="6A09542B"/>
    <w:rsid w:val="6A0A2D85"/>
    <w:rsid w:val="6A254C33"/>
    <w:rsid w:val="6A2B07E1"/>
    <w:rsid w:val="6A3419CA"/>
    <w:rsid w:val="6A3E5B5D"/>
    <w:rsid w:val="6A563204"/>
    <w:rsid w:val="6A5F3B13"/>
    <w:rsid w:val="6A6B1B24"/>
    <w:rsid w:val="6A6E2AA9"/>
    <w:rsid w:val="6A852D91"/>
    <w:rsid w:val="6A8753FD"/>
    <w:rsid w:val="6A89513B"/>
    <w:rsid w:val="6A8D335E"/>
    <w:rsid w:val="6AAE3893"/>
    <w:rsid w:val="6AB60C9F"/>
    <w:rsid w:val="6ABA5127"/>
    <w:rsid w:val="6AC07030"/>
    <w:rsid w:val="6AC4326C"/>
    <w:rsid w:val="6AC91EBE"/>
    <w:rsid w:val="6ACB439E"/>
    <w:rsid w:val="6ACB53C1"/>
    <w:rsid w:val="6ADB565B"/>
    <w:rsid w:val="6AEB36F7"/>
    <w:rsid w:val="6AEF20FE"/>
    <w:rsid w:val="6AF24D91"/>
    <w:rsid w:val="6AF60BEE"/>
    <w:rsid w:val="6B005CDC"/>
    <w:rsid w:val="6B061D23"/>
    <w:rsid w:val="6B080AA9"/>
    <w:rsid w:val="6B120DF4"/>
    <w:rsid w:val="6B131038"/>
    <w:rsid w:val="6B1C36D8"/>
    <w:rsid w:val="6B1C3EC6"/>
    <w:rsid w:val="6B2B45F0"/>
    <w:rsid w:val="6B2C79E4"/>
    <w:rsid w:val="6B3218ED"/>
    <w:rsid w:val="6B32410C"/>
    <w:rsid w:val="6B3B697A"/>
    <w:rsid w:val="6B46058E"/>
    <w:rsid w:val="6B47600F"/>
    <w:rsid w:val="6B593D2B"/>
    <w:rsid w:val="6B5F282F"/>
    <w:rsid w:val="6B5F36B6"/>
    <w:rsid w:val="6B81166C"/>
    <w:rsid w:val="6B865AF4"/>
    <w:rsid w:val="6B953B90"/>
    <w:rsid w:val="6BA40927"/>
    <w:rsid w:val="6BB02E29"/>
    <w:rsid w:val="6BB8040C"/>
    <w:rsid w:val="6BD35BF3"/>
    <w:rsid w:val="6BE9361A"/>
    <w:rsid w:val="6BE97D97"/>
    <w:rsid w:val="6BEF5524"/>
    <w:rsid w:val="6C152AE5"/>
    <w:rsid w:val="6C2E1475"/>
    <w:rsid w:val="6C2F099F"/>
    <w:rsid w:val="6C3A689C"/>
    <w:rsid w:val="6C43172A"/>
    <w:rsid w:val="6C465F32"/>
    <w:rsid w:val="6C542CCA"/>
    <w:rsid w:val="6C554EC8"/>
    <w:rsid w:val="6C5B2654"/>
    <w:rsid w:val="6C5C22D4"/>
    <w:rsid w:val="6C5E35D9"/>
    <w:rsid w:val="6C74577D"/>
    <w:rsid w:val="6C766C1A"/>
    <w:rsid w:val="6C7D1D1F"/>
    <w:rsid w:val="6C891E9F"/>
    <w:rsid w:val="6C8B40D0"/>
    <w:rsid w:val="6C8F3DA8"/>
    <w:rsid w:val="6C9B343E"/>
    <w:rsid w:val="6CA34594"/>
    <w:rsid w:val="6CA55F7A"/>
    <w:rsid w:val="6CA7144F"/>
    <w:rsid w:val="6CAD0DDA"/>
    <w:rsid w:val="6CB07B60"/>
    <w:rsid w:val="6CB177E0"/>
    <w:rsid w:val="6CB23063"/>
    <w:rsid w:val="6CB54E81"/>
    <w:rsid w:val="6CBD35F3"/>
    <w:rsid w:val="6CBE1074"/>
    <w:rsid w:val="6CC93FC9"/>
    <w:rsid w:val="6CCE130E"/>
    <w:rsid w:val="6D05506C"/>
    <w:rsid w:val="6D0773A5"/>
    <w:rsid w:val="6D0801EF"/>
    <w:rsid w:val="6D0A36F2"/>
    <w:rsid w:val="6D0A6F75"/>
    <w:rsid w:val="6D116900"/>
    <w:rsid w:val="6D1C4C91"/>
    <w:rsid w:val="6D1C6E8F"/>
    <w:rsid w:val="6D275220"/>
    <w:rsid w:val="6D2A1A28"/>
    <w:rsid w:val="6D2D20B0"/>
    <w:rsid w:val="6D326E35"/>
    <w:rsid w:val="6D344536"/>
    <w:rsid w:val="6D3731A5"/>
    <w:rsid w:val="6D3F0067"/>
    <w:rsid w:val="6D45389E"/>
    <w:rsid w:val="6D6F471B"/>
    <w:rsid w:val="6D74531F"/>
    <w:rsid w:val="6D7F1132"/>
    <w:rsid w:val="6D7F2CFA"/>
    <w:rsid w:val="6D943656"/>
    <w:rsid w:val="6DB82095"/>
    <w:rsid w:val="6DBC42C8"/>
    <w:rsid w:val="6DBE449A"/>
    <w:rsid w:val="6DBF5627"/>
    <w:rsid w:val="6DC443DD"/>
    <w:rsid w:val="6DC6672E"/>
    <w:rsid w:val="6DC66BAD"/>
    <w:rsid w:val="6DC72BAB"/>
    <w:rsid w:val="6DCF21B6"/>
    <w:rsid w:val="6DD472CD"/>
    <w:rsid w:val="6DD51EC1"/>
    <w:rsid w:val="6DD775C2"/>
    <w:rsid w:val="6DE40E56"/>
    <w:rsid w:val="6DEA07E1"/>
    <w:rsid w:val="6DEC3CE4"/>
    <w:rsid w:val="6E087D91"/>
    <w:rsid w:val="6E0B4599"/>
    <w:rsid w:val="6E251CF8"/>
    <w:rsid w:val="6E2A15CB"/>
    <w:rsid w:val="6E3463D6"/>
    <w:rsid w:val="6E3523DA"/>
    <w:rsid w:val="6E360C61"/>
    <w:rsid w:val="6E3F4508"/>
    <w:rsid w:val="6E4C2E04"/>
    <w:rsid w:val="6E50180B"/>
    <w:rsid w:val="6E570631"/>
    <w:rsid w:val="6E586C17"/>
    <w:rsid w:val="6E5A7B9C"/>
    <w:rsid w:val="6E5B561D"/>
    <w:rsid w:val="6E5D5891"/>
    <w:rsid w:val="6E617526"/>
    <w:rsid w:val="6E6C7AB6"/>
    <w:rsid w:val="6E7A264F"/>
    <w:rsid w:val="6E7E1D52"/>
    <w:rsid w:val="6E7F7E53"/>
    <w:rsid w:val="6E8E12EF"/>
    <w:rsid w:val="6E9E738B"/>
    <w:rsid w:val="6EA72219"/>
    <w:rsid w:val="6ECC20A0"/>
    <w:rsid w:val="6ECD4657"/>
    <w:rsid w:val="6ECF42D7"/>
    <w:rsid w:val="6ED055DC"/>
    <w:rsid w:val="6ED616E4"/>
    <w:rsid w:val="6EDB13EF"/>
    <w:rsid w:val="6EE82C83"/>
    <w:rsid w:val="6EF70BC7"/>
    <w:rsid w:val="6EFE06AA"/>
    <w:rsid w:val="6F0D48B5"/>
    <w:rsid w:val="6F123AC7"/>
    <w:rsid w:val="6F206660"/>
    <w:rsid w:val="6F282DD0"/>
    <w:rsid w:val="6F4C6683"/>
    <w:rsid w:val="6F5B773E"/>
    <w:rsid w:val="6F663551"/>
    <w:rsid w:val="6F6A57DA"/>
    <w:rsid w:val="6F703E60"/>
    <w:rsid w:val="6F76389B"/>
    <w:rsid w:val="6F85477F"/>
    <w:rsid w:val="6F866004"/>
    <w:rsid w:val="6F8B7F0D"/>
    <w:rsid w:val="6F8E276A"/>
    <w:rsid w:val="6FB17343"/>
    <w:rsid w:val="6FC700F2"/>
    <w:rsid w:val="6FCB6AF9"/>
    <w:rsid w:val="6FE860A9"/>
    <w:rsid w:val="6FEC4AAF"/>
    <w:rsid w:val="6FF0717F"/>
    <w:rsid w:val="6FF30BB6"/>
    <w:rsid w:val="6FF41EBB"/>
    <w:rsid w:val="6FF440BA"/>
    <w:rsid w:val="6FFD27CB"/>
    <w:rsid w:val="701E2CFF"/>
    <w:rsid w:val="70261436"/>
    <w:rsid w:val="7028360F"/>
    <w:rsid w:val="70311D20"/>
    <w:rsid w:val="7046187D"/>
    <w:rsid w:val="70463FBF"/>
    <w:rsid w:val="704C42A2"/>
    <w:rsid w:val="704E3A65"/>
    <w:rsid w:val="70637F71"/>
    <w:rsid w:val="70765B1C"/>
    <w:rsid w:val="709075F5"/>
    <w:rsid w:val="709A00CB"/>
    <w:rsid w:val="70A132D9"/>
    <w:rsid w:val="70A873E0"/>
    <w:rsid w:val="70AC23B7"/>
    <w:rsid w:val="70BF7006"/>
    <w:rsid w:val="70C77C95"/>
    <w:rsid w:val="70CF2B23"/>
    <w:rsid w:val="70DB6936"/>
    <w:rsid w:val="70DD1E39"/>
    <w:rsid w:val="70DE4037"/>
    <w:rsid w:val="70DF235B"/>
    <w:rsid w:val="70E45339"/>
    <w:rsid w:val="70E94F27"/>
    <w:rsid w:val="70FE7DEF"/>
    <w:rsid w:val="70FF3672"/>
    <w:rsid w:val="710B1683"/>
    <w:rsid w:val="710C2988"/>
    <w:rsid w:val="710E5E8B"/>
    <w:rsid w:val="711A3E9C"/>
    <w:rsid w:val="711B771F"/>
    <w:rsid w:val="71267CAF"/>
    <w:rsid w:val="712831B2"/>
    <w:rsid w:val="712E093E"/>
    <w:rsid w:val="71413C37"/>
    <w:rsid w:val="71527879"/>
    <w:rsid w:val="71571D46"/>
    <w:rsid w:val="7165689A"/>
    <w:rsid w:val="71671D9D"/>
    <w:rsid w:val="71690822"/>
    <w:rsid w:val="718C6759"/>
    <w:rsid w:val="718E63D9"/>
    <w:rsid w:val="71971267"/>
    <w:rsid w:val="71A2507A"/>
    <w:rsid w:val="71A30B93"/>
    <w:rsid w:val="71A74D85"/>
    <w:rsid w:val="71C61DB6"/>
    <w:rsid w:val="71E74B4E"/>
    <w:rsid w:val="71EB6773"/>
    <w:rsid w:val="71EC41F4"/>
    <w:rsid w:val="71EE76F7"/>
    <w:rsid w:val="71F546B9"/>
    <w:rsid w:val="72026398"/>
    <w:rsid w:val="72033E1A"/>
    <w:rsid w:val="721F6CB8"/>
    <w:rsid w:val="722B755C"/>
    <w:rsid w:val="72307267"/>
    <w:rsid w:val="72376BF2"/>
    <w:rsid w:val="72384674"/>
    <w:rsid w:val="723F1A91"/>
    <w:rsid w:val="72475F26"/>
    <w:rsid w:val="725720C5"/>
    <w:rsid w:val="726A2AAA"/>
    <w:rsid w:val="726B49E1"/>
    <w:rsid w:val="726E12CB"/>
    <w:rsid w:val="726E3514"/>
    <w:rsid w:val="726F0F4A"/>
    <w:rsid w:val="726F6D4C"/>
    <w:rsid w:val="7278765C"/>
    <w:rsid w:val="729C366D"/>
    <w:rsid w:val="729D6597"/>
    <w:rsid w:val="72A64CA8"/>
    <w:rsid w:val="72A72729"/>
    <w:rsid w:val="72A83177"/>
    <w:rsid w:val="72AB332E"/>
    <w:rsid w:val="72AB572C"/>
    <w:rsid w:val="72B84BC2"/>
    <w:rsid w:val="72B91FED"/>
    <w:rsid w:val="72C139C6"/>
    <w:rsid w:val="72C70D38"/>
    <w:rsid w:val="72DF0305"/>
    <w:rsid w:val="72E37031"/>
    <w:rsid w:val="72E429D3"/>
    <w:rsid w:val="72F675C2"/>
    <w:rsid w:val="72FF629D"/>
    <w:rsid w:val="73071A2C"/>
    <w:rsid w:val="730E3718"/>
    <w:rsid w:val="73123FD7"/>
    <w:rsid w:val="731352DC"/>
    <w:rsid w:val="73142912"/>
    <w:rsid w:val="73142D5D"/>
    <w:rsid w:val="731D0ABA"/>
    <w:rsid w:val="73293BFC"/>
    <w:rsid w:val="732E4532"/>
    <w:rsid w:val="733D289D"/>
    <w:rsid w:val="73491F32"/>
    <w:rsid w:val="734E63BA"/>
    <w:rsid w:val="734F3E3C"/>
    <w:rsid w:val="735018BD"/>
    <w:rsid w:val="735F1ED8"/>
    <w:rsid w:val="736D7395"/>
    <w:rsid w:val="736E747D"/>
    <w:rsid w:val="737B7D2B"/>
    <w:rsid w:val="73843011"/>
    <w:rsid w:val="739E743E"/>
    <w:rsid w:val="739F163C"/>
    <w:rsid w:val="73AF2DAD"/>
    <w:rsid w:val="73C4767E"/>
    <w:rsid w:val="73C80282"/>
    <w:rsid w:val="73D13008"/>
    <w:rsid w:val="73E0372B"/>
    <w:rsid w:val="73EE47E7"/>
    <w:rsid w:val="73EF5F44"/>
    <w:rsid w:val="73F00142"/>
    <w:rsid w:val="73F120BE"/>
    <w:rsid w:val="73F80DD1"/>
    <w:rsid w:val="73F8659C"/>
    <w:rsid w:val="73F96853"/>
    <w:rsid w:val="73FC19D6"/>
    <w:rsid w:val="74046DE2"/>
    <w:rsid w:val="740A456F"/>
    <w:rsid w:val="741B7D08"/>
    <w:rsid w:val="74206713"/>
    <w:rsid w:val="742552BF"/>
    <w:rsid w:val="7427609D"/>
    <w:rsid w:val="743D7A48"/>
    <w:rsid w:val="744028C2"/>
    <w:rsid w:val="74464564"/>
    <w:rsid w:val="744752D6"/>
    <w:rsid w:val="7463267F"/>
    <w:rsid w:val="74663604"/>
    <w:rsid w:val="7467237E"/>
    <w:rsid w:val="74674908"/>
    <w:rsid w:val="7474619D"/>
    <w:rsid w:val="747D102B"/>
    <w:rsid w:val="747F1FAF"/>
    <w:rsid w:val="74920FD0"/>
    <w:rsid w:val="74982ED9"/>
    <w:rsid w:val="749C18DF"/>
    <w:rsid w:val="749D7361"/>
    <w:rsid w:val="74A521EF"/>
    <w:rsid w:val="74AB74CF"/>
    <w:rsid w:val="74B46F86"/>
    <w:rsid w:val="74B62489"/>
    <w:rsid w:val="74B7598C"/>
    <w:rsid w:val="74C2049A"/>
    <w:rsid w:val="74D330C5"/>
    <w:rsid w:val="74D54F3C"/>
    <w:rsid w:val="74DE7DCA"/>
    <w:rsid w:val="74E0465F"/>
    <w:rsid w:val="74F11878"/>
    <w:rsid w:val="75050D66"/>
    <w:rsid w:val="75117320"/>
    <w:rsid w:val="75144A21"/>
    <w:rsid w:val="75155D26"/>
    <w:rsid w:val="75173427"/>
    <w:rsid w:val="751A710F"/>
    <w:rsid w:val="751B1E2E"/>
    <w:rsid w:val="75230B15"/>
    <w:rsid w:val="7525273D"/>
    <w:rsid w:val="752601BF"/>
    <w:rsid w:val="75283C01"/>
    <w:rsid w:val="75344F56"/>
    <w:rsid w:val="753529D7"/>
    <w:rsid w:val="753A69FE"/>
    <w:rsid w:val="75427091"/>
    <w:rsid w:val="754C03FE"/>
    <w:rsid w:val="75527D89"/>
    <w:rsid w:val="7556678F"/>
    <w:rsid w:val="755D199D"/>
    <w:rsid w:val="756424CB"/>
    <w:rsid w:val="75660FA8"/>
    <w:rsid w:val="75687D2E"/>
    <w:rsid w:val="75C41A82"/>
    <w:rsid w:val="75C622C6"/>
    <w:rsid w:val="75CE2F56"/>
    <w:rsid w:val="75CF4FA6"/>
    <w:rsid w:val="75DE31F0"/>
    <w:rsid w:val="75EF10CE"/>
    <w:rsid w:val="75F2660E"/>
    <w:rsid w:val="75F72A95"/>
    <w:rsid w:val="75F76319"/>
    <w:rsid w:val="75FF0362"/>
    <w:rsid w:val="76297DEC"/>
    <w:rsid w:val="762D2F6F"/>
    <w:rsid w:val="762F1CF6"/>
    <w:rsid w:val="76311976"/>
    <w:rsid w:val="7637387F"/>
    <w:rsid w:val="76411C10"/>
    <w:rsid w:val="76415493"/>
    <w:rsid w:val="76546096"/>
    <w:rsid w:val="765C3ABF"/>
    <w:rsid w:val="765D7E8B"/>
    <w:rsid w:val="76637BC6"/>
    <w:rsid w:val="767936DC"/>
    <w:rsid w:val="768A3309"/>
    <w:rsid w:val="768B0D8B"/>
    <w:rsid w:val="76A07A2B"/>
    <w:rsid w:val="76AA3BBE"/>
    <w:rsid w:val="76AC12BF"/>
    <w:rsid w:val="76B03549"/>
    <w:rsid w:val="76C21265"/>
    <w:rsid w:val="76C421E9"/>
    <w:rsid w:val="76C656EC"/>
    <w:rsid w:val="76D02779"/>
    <w:rsid w:val="76DD06A3"/>
    <w:rsid w:val="76F352B7"/>
    <w:rsid w:val="76FF6B4B"/>
    <w:rsid w:val="7709745B"/>
    <w:rsid w:val="770D6ED7"/>
    <w:rsid w:val="77133466"/>
    <w:rsid w:val="77162EED"/>
    <w:rsid w:val="771863F0"/>
    <w:rsid w:val="771C4DF6"/>
    <w:rsid w:val="77214B01"/>
    <w:rsid w:val="772C5091"/>
    <w:rsid w:val="772E53A2"/>
    <w:rsid w:val="773E6630"/>
    <w:rsid w:val="775227B3"/>
    <w:rsid w:val="77571758"/>
    <w:rsid w:val="7767792C"/>
    <w:rsid w:val="776B3C7C"/>
    <w:rsid w:val="778046DE"/>
    <w:rsid w:val="77804B1B"/>
    <w:rsid w:val="77846DA4"/>
    <w:rsid w:val="77850AEA"/>
    <w:rsid w:val="77974740"/>
    <w:rsid w:val="77AB5E7C"/>
    <w:rsid w:val="77B10B6D"/>
    <w:rsid w:val="77CD4BBB"/>
    <w:rsid w:val="77D16EA3"/>
    <w:rsid w:val="77DE79F1"/>
    <w:rsid w:val="77E86AC9"/>
    <w:rsid w:val="77ED76CD"/>
    <w:rsid w:val="77F315D6"/>
    <w:rsid w:val="780008EC"/>
    <w:rsid w:val="780649BD"/>
    <w:rsid w:val="7814538E"/>
    <w:rsid w:val="78152E10"/>
    <w:rsid w:val="78173D95"/>
    <w:rsid w:val="782642CC"/>
    <w:rsid w:val="782765AD"/>
    <w:rsid w:val="78335C43"/>
    <w:rsid w:val="78362E17"/>
    <w:rsid w:val="78376064"/>
    <w:rsid w:val="783F3C54"/>
    <w:rsid w:val="7844198D"/>
    <w:rsid w:val="78465777"/>
    <w:rsid w:val="784E1CF0"/>
    <w:rsid w:val="784E646D"/>
    <w:rsid w:val="78540376"/>
    <w:rsid w:val="785E6707"/>
    <w:rsid w:val="78604120"/>
    <w:rsid w:val="7861548E"/>
    <w:rsid w:val="786A3A94"/>
    <w:rsid w:val="786C6E8A"/>
    <w:rsid w:val="78715728"/>
    <w:rsid w:val="7875412E"/>
    <w:rsid w:val="788B1B55"/>
    <w:rsid w:val="788C0D77"/>
    <w:rsid w:val="7890275A"/>
    <w:rsid w:val="78936F61"/>
    <w:rsid w:val="78A95882"/>
    <w:rsid w:val="78AB0D85"/>
    <w:rsid w:val="78AF300E"/>
    <w:rsid w:val="78B9139F"/>
    <w:rsid w:val="78C63187"/>
    <w:rsid w:val="78C91C66"/>
    <w:rsid w:val="78DA631E"/>
    <w:rsid w:val="79017595"/>
    <w:rsid w:val="79144F31"/>
    <w:rsid w:val="792067C5"/>
    <w:rsid w:val="79294ED6"/>
    <w:rsid w:val="792F4CF3"/>
    <w:rsid w:val="79350CE9"/>
    <w:rsid w:val="793D45EA"/>
    <w:rsid w:val="7949417E"/>
    <w:rsid w:val="795934A7"/>
    <w:rsid w:val="795F53B0"/>
    <w:rsid w:val="796C59D2"/>
    <w:rsid w:val="796F0365"/>
    <w:rsid w:val="79741AD3"/>
    <w:rsid w:val="79795F5A"/>
    <w:rsid w:val="797A0159"/>
    <w:rsid w:val="79940893"/>
    <w:rsid w:val="79A36D9F"/>
    <w:rsid w:val="79AD76AE"/>
    <w:rsid w:val="79B23B36"/>
    <w:rsid w:val="79D378EE"/>
    <w:rsid w:val="79D762F4"/>
    <w:rsid w:val="79E60B0D"/>
    <w:rsid w:val="79E93C90"/>
    <w:rsid w:val="79EA42F5"/>
    <w:rsid w:val="7A2D1941"/>
    <w:rsid w:val="7A32318A"/>
    <w:rsid w:val="7A3A2795"/>
    <w:rsid w:val="7A3C3A49"/>
    <w:rsid w:val="7A4024A0"/>
    <w:rsid w:val="7A4D17B6"/>
    <w:rsid w:val="7A527E3C"/>
    <w:rsid w:val="7A5A31CE"/>
    <w:rsid w:val="7A66105B"/>
    <w:rsid w:val="7A733BF4"/>
    <w:rsid w:val="7A843E8E"/>
    <w:rsid w:val="7A8C6D1C"/>
    <w:rsid w:val="7A94194E"/>
    <w:rsid w:val="7A944128"/>
    <w:rsid w:val="7A970930"/>
    <w:rsid w:val="7AAC17CF"/>
    <w:rsid w:val="7AAD2AD4"/>
    <w:rsid w:val="7ACF0A8A"/>
    <w:rsid w:val="7AE14228"/>
    <w:rsid w:val="7AED003A"/>
    <w:rsid w:val="7B034F6E"/>
    <w:rsid w:val="7B0434E3"/>
    <w:rsid w:val="7B24036B"/>
    <w:rsid w:val="7B263453"/>
    <w:rsid w:val="7B2F1DA8"/>
    <w:rsid w:val="7B333BF2"/>
    <w:rsid w:val="7B3C6E38"/>
    <w:rsid w:val="7B402043"/>
    <w:rsid w:val="7B416646"/>
    <w:rsid w:val="7B5909EE"/>
    <w:rsid w:val="7B7B69A5"/>
    <w:rsid w:val="7B866F34"/>
    <w:rsid w:val="7B89373C"/>
    <w:rsid w:val="7B93624A"/>
    <w:rsid w:val="7B941ACD"/>
    <w:rsid w:val="7BAA3C71"/>
    <w:rsid w:val="7BB12F84"/>
    <w:rsid w:val="7BB90FCD"/>
    <w:rsid w:val="7BCD09AD"/>
    <w:rsid w:val="7BD75A22"/>
    <w:rsid w:val="7BDD31C6"/>
    <w:rsid w:val="7BE56054"/>
    <w:rsid w:val="7BEC215B"/>
    <w:rsid w:val="7BF42DEB"/>
    <w:rsid w:val="7BF662EE"/>
    <w:rsid w:val="7BFC01F8"/>
    <w:rsid w:val="7C10151B"/>
    <w:rsid w:val="7C26103C"/>
    <w:rsid w:val="7C272341"/>
    <w:rsid w:val="7C276ABD"/>
    <w:rsid w:val="7C39225B"/>
    <w:rsid w:val="7C4250E9"/>
    <w:rsid w:val="7C434226"/>
    <w:rsid w:val="7C4D6CFD"/>
    <w:rsid w:val="7C523992"/>
    <w:rsid w:val="7C56760C"/>
    <w:rsid w:val="7C73113B"/>
    <w:rsid w:val="7C774005"/>
    <w:rsid w:val="7C7E2011"/>
    <w:rsid w:val="7C8313D5"/>
    <w:rsid w:val="7C962D88"/>
    <w:rsid w:val="7C973326"/>
    <w:rsid w:val="7C993579"/>
    <w:rsid w:val="7CA61B3A"/>
    <w:rsid w:val="7CB0319E"/>
    <w:rsid w:val="7CBA3AAE"/>
    <w:rsid w:val="7CBB152F"/>
    <w:rsid w:val="7CC72DC3"/>
    <w:rsid w:val="7CC75342"/>
    <w:rsid w:val="7CCB17CA"/>
    <w:rsid w:val="7CDA4D1D"/>
    <w:rsid w:val="7CEC06AD"/>
    <w:rsid w:val="7CF22D0E"/>
    <w:rsid w:val="7CFF505B"/>
    <w:rsid w:val="7D071137"/>
    <w:rsid w:val="7D195627"/>
    <w:rsid w:val="7D1C02CF"/>
    <w:rsid w:val="7D1F7055"/>
    <w:rsid w:val="7D2221D8"/>
    <w:rsid w:val="7D2508F6"/>
    <w:rsid w:val="7D291B63"/>
    <w:rsid w:val="7D2E5FEB"/>
    <w:rsid w:val="7D3014EE"/>
    <w:rsid w:val="7D320274"/>
    <w:rsid w:val="7D470F6C"/>
    <w:rsid w:val="7D4A591B"/>
    <w:rsid w:val="7D4C0258"/>
    <w:rsid w:val="7D4C1C23"/>
    <w:rsid w:val="7D507824"/>
    <w:rsid w:val="7D5207A9"/>
    <w:rsid w:val="7D5471E5"/>
    <w:rsid w:val="7D58029C"/>
    <w:rsid w:val="7D585F36"/>
    <w:rsid w:val="7D5B3637"/>
    <w:rsid w:val="7D610DC4"/>
    <w:rsid w:val="7D6E4856"/>
    <w:rsid w:val="7D7E706F"/>
    <w:rsid w:val="7D8469FA"/>
    <w:rsid w:val="7D85227D"/>
    <w:rsid w:val="7D89270F"/>
    <w:rsid w:val="7D8B6384"/>
    <w:rsid w:val="7DA0227C"/>
    <w:rsid w:val="7DA32BE1"/>
    <w:rsid w:val="7DAA6C39"/>
    <w:rsid w:val="7DBD7E58"/>
    <w:rsid w:val="7DD06E79"/>
    <w:rsid w:val="7DD37DFE"/>
    <w:rsid w:val="7DD62F81"/>
    <w:rsid w:val="7DDE3C10"/>
    <w:rsid w:val="7DE82A78"/>
    <w:rsid w:val="7DEF32E1"/>
    <w:rsid w:val="7DF0192C"/>
    <w:rsid w:val="7DF30332"/>
    <w:rsid w:val="7DF612B7"/>
    <w:rsid w:val="7E0C05F6"/>
    <w:rsid w:val="7E135A11"/>
    <w:rsid w:val="7E2A080C"/>
    <w:rsid w:val="7E2D7213"/>
    <w:rsid w:val="7E32369A"/>
    <w:rsid w:val="7E3C61A8"/>
    <w:rsid w:val="7E4029B0"/>
    <w:rsid w:val="7E412B19"/>
    <w:rsid w:val="7E4F51C9"/>
    <w:rsid w:val="7E5F5463"/>
    <w:rsid w:val="7E6924EF"/>
    <w:rsid w:val="7E6B59F3"/>
    <w:rsid w:val="7E6E21FA"/>
    <w:rsid w:val="7E71317F"/>
    <w:rsid w:val="7E875323"/>
    <w:rsid w:val="7E8D2AAF"/>
    <w:rsid w:val="7E8D4226"/>
    <w:rsid w:val="7E994343"/>
    <w:rsid w:val="7E9A1DC5"/>
    <w:rsid w:val="7E9D2D4A"/>
    <w:rsid w:val="7E9E14DD"/>
    <w:rsid w:val="7EA313D0"/>
    <w:rsid w:val="7EA73659"/>
    <w:rsid w:val="7EAC1CDF"/>
    <w:rsid w:val="7EAD2FE4"/>
    <w:rsid w:val="7EAD7761"/>
    <w:rsid w:val="7EAF2C64"/>
    <w:rsid w:val="7EB4296F"/>
    <w:rsid w:val="7EBB22FA"/>
    <w:rsid w:val="7EBB568F"/>
    <w:rsid w:val="7EBD792C"/>
    <w:rsid w:val="7EC04EBF"/>
    <w:rsid w:val="7EC7030B"/>
    <w:rsid w:val="7ED21F1F"/>
    <w:rsid w:val="7ED763A7"/>
    <w:rsid w:val="7EDD5901"/>
    <w:rsid w:val="7EE724FF"/>
    <w:rsid w:val="7EF316B4"/>
    <w:rsid w:val="7EFC65E6"/>
    <w:rsid w:val="7F012A6E"/>
    <w:rsid w:val="7F074977"/>
    <w:rsid w:val="7F0F1D84"/>
    <w:rsid w:val="7F182693"/>
    <w:rsid w:val="7F297F21"/>
    <w:rsid w:val="7F2D3532"/>
    <w:rsid w:val="7F330CBF"/>
    <w:rsid w:val="7F3541C2"/>
    <w:rsid w:val="7F402553"/>
    <w:rsid w:val="7F45445C"/>
    <w:rsid w:val="7F5035C2"/>
    <w:rsid w:val="7F61630B"/>
    <w:rsid w:val="7F6E1828"/>
    <w:rsid w:val="7F7571AA"/>
    <w:rsid w:val="7F8E34B9"/>
    <w:rsid w:val="7F9545DF"/>
    <w:rsid w:val="7F962F62"/>
    <w:rsid w:val="7FAA0B7B"/>
    <w:rsid w:val="7FBD539F"/>
    <w:rsid w:val="7FC35C0E"/>
    <w:rsid w:val="7FC6022D"/>
    <w:rsid w:val="7FC91235"/>
    <w:rsid w:val="7FCA24B7"/>
    <w:rsid w:val="7FD74CC3"/>
    <w:rsid w:val="7FD91C23"/>
    <w:rsid w:val="7FDC5C54"/>
    <w:rsid w:val="7FDE3356"/>
    <w:rsid w:val="7FE21D5C"/>
    <w:rsid w:val="7FE26080"/>
    <w:rsid w:val="7FF151BF"/>
    <w:rsid w:val="7FF27DF8"/>
    <w:rsid w:val="7FF657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qFormat="1" w:uiPriority="99" w:semiHidden="0" w:name="index 9"/>
    <w:lsdException w:qFormat="1" w:uiPriority="39" w:semiHidden="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0" w:semiHidden="0" w:name="Emphasis" w:locked="1"/>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仿宋_GB2312" w:hAnsi="仿宋_GB2312" w:eastAsia="仿宋_GB2312" w:cs="Times New Roman"/>
      <w:kern w:val="2"/>
      <w:sz w:val="32"/>
      <w:lang w:val="en-US" w:eastAsia="zh-CN" w:bidi="ar-SA"/>
    </w:rPr>
  </w:style>
  <w:style w:type="paragraph" w:styleId="2">
    <w:name w:val="heading 1"/>
    <w:basedOn w:val="1"/>
    <w:next w:val="1"/>
    <w:link w:val="50"/>
    <w:qFormat/>
    <w:locked/>
    <w:uiPriority w:val="0"/>
    <w:pPr>
      <w:keepNext/>
      <w:keepLines/>
      <w:outlineLvl w:val="0"/>
    </w:pPr>
    <w:rPr>
      <w:rFonts w:ascii="黑体" w:hAnsi="黑体" w:eastAsia="黑体" w:cs="仿宋_GB2312"/>
      <w:kern w:val="44"/>
      <w:szCs w:val="32"/>
    </w:rPr>
  </w:style>
  <w:style w:type="paragraph" w:styleId="3">
    <w:name w:val="heading 2"/>
    <w:basedOn w:val="1"/>
    <w:next w:val="1"/>
    <w:unhideWhenUsed/>
    <w:qFormat/>
    <w:locked/>
    <w:uiPriority w:val="0"/>
    <w:pPr>
      <w:keepNext/>
      <w:keepLines/>
      <w:outlineLvl w:val="1"/>
    </w:pPr>
    <w:rPr>
      <w:rFonts w:ascii="楷体" w:hAnsi="楷体" w:eastAsia="楷体_GB2312"/>
    </w:rPr>
  </w:style>
  <w:style w:type="paragraph" w:styleId="4">
    <w:name w:val="heading 3"/>
    <w:basedOn w:val="1"/>
    <w:next w:val="1"/>
    <w:unhideWhenUsed/>
    <w:qFormat/>
    <w:locked/>
    <w:uiPriority w:val="0"/>
    <w:pPr>
      <w:keepNext/>
      <w:keepLines/>
      <w:outlineLvl w:val="2"/>
    </w:pPr>
    <w:rPr>
      <w:b/>
    </w:rPr>
  </w:style>
  <w:style w:type="paragraph" w:styleId="5">
    <w:name w:val="heading 6"/>
    <w:basedOn w:val="1"/>
    <w:next w:val="1"/>
    <w:qFormat/>
    <w:locked/>
    <w:uiPriority w:val="0"/>
    <w:pPr>
      <w:keepNext/>
      <w:keepLines/>
      <w:suppressAutoHyphens/>
      <w:spacing w:before="240" w:after="64" w:line="319" w:lineRule="auto"/>
      <w:outlineLvl w:val="5"/>
    </w:pPr>
    <w:rPr>
      <w:rFonts w:ascii="Cambria" w:hAnsi="Cambria"/>
      <w:b/>
      <w:bCs/>
      <w:kern w:val="0"/>
      <w:sz w:val="24"/>
    </w:rPr>
  </w:style>
  <w:style w:type="character" w:default="1" w:styleId="24">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8">
    <w:name w:val="annotation text"/>
    <w:basedOn w:val="1"/>
    <w:link w:val="47"/>
    <w:unhideWhenUsed/>
    <w:qFormat/>
    <w:uiPriority w:val="0"/>
    <w:pPr>
      <w:jc w:val="left"/>
    </w:pPr>
  </w:style>
  <w:style w:type="paragraph" w:styleId="9">
    <w:name w:val="Body Text"/>
    <w:basedOn w:val="1"/>
    <w:link w:val="36"/>
    <w:qFormat/>
    <w:uiPriority w:val="0"/>
    <w:rPr>
      <w:kern w:val="0"/>
      <w:sz w:val="20"/>
      <w:lang w:val="zh-CN"/>
    </w:rPr>
  </w:style>
  <w:style w:type="paragraph" w:styleId="10">
    <w:name w:val="Body Text Indent"/>
    <w:basedOn w:val="1"/>
    <w:link w:val="49"/>
    <w:unhideWhenUsed/>
    <w:qFormat/>
    <w:uiPriority w:val="0"/>
    <w:pPr>
      <w:spacing w:after="120"/>
      <w:ind w:left="420" w:leftChars="200"/>
    </w:pPr>
  </w:style>
  <w:style w:type="paragraph" w:styleId="11">
    <w:name w:val="Plain Text"/>
    <w:basedOn w:val="1"/>
    <w:next w:val="6"/>
    <w:qFormat/>
    <w:uiPriority w:val="0"/>
    <w:rPr>
      <w:rFonts w:ascii="宋体" w:hAnsi="Courier New" w:cs="Courier New"/>
      <w:szCs w:val="21"/>
    </w:rPr>
  </w:style>
  <w:style w:type="paragraph" w:styleId="12">
    <w:name w:val="Date"/>
    <w:basedOn w:val="1"/>
    <w:next w:val="1"/>
    <w:link w:val="35"/>
    <w:qFormat/>
    <w:uiPriority w:val="0"/>
    <w:pPr>
      <w:ind w:left="100" w:leftChars="2500"/>
    </w:pPr>
    <w:rPr>
      <w:kern w:val="0"/>
      <w:sz w:val="20"/>
      <w:lang w:val="zh-CN"/>
    </w:rPr>
  </w:style>
  <w:style w:type="paragraph" w:styleId="13">
    <w:name w:val="Balloon Text"/>
    <w:basedOn w:val="1"/>
    <w:link w:val="31"/>
    <w:semiHidden/>
    <w:qFormat/>
    <w:uiPriority w:val="0"/>
    <w:rPr>
      <w:kern w:val="0"/>
      <w:sz w:val="18"/>
      <w:szCs w:val="18"/>
      <w:lang w:val="zh-CN"/>
    </w:rPr>
  </w:style>
  <w:style w:type="paragraph" w:styleId="14">
    <w:name w:val="footer"/>
    <w:basedOn w:val="1"/>
    <w:link w:val="33"/>
    <w:qFormat/>
    <w:uiPriority w:val="0"/>
    <w:pPr>
      <w:tabs>
        <w:tab w:val="center" w:pos="4153"/>
        <w:tab w:val="right" w:pos="8306"/>
      </w:tabs>
      <w:snapToGrid w:val="0"/>
      <w:jc w:val="left"/>
    </w:pPr>
    <w:rPr>
      <w:kern w:val="0"/>
      <w:sz w:val="18"/>
      <w:szCs w:val="18"/>
      <w:lang w:val="zh-CN"/>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16">
    <w:name w:val="toc 1"/>
    <w:basedOn w:val="1"/>
    <w:next w:val="1"/>
    <w:unhideWhenUsed/>
    <w:qFormat/>
    <w:locked/>
    <w:uiPriority w:val="39"/>
    <w:rPr>
      <w:rFonts w:ascii="Calibri" w:hAnsi="Calibri"/>
      <w:szCs w:val="22"/>
    </w:rPr>
  </w:style>
  <w:style w:type="paragraph" w:styleId="17">
    <w:name w:val="Subtitle"/>
    <w:basedOn w:val="1"/>
    <w:link w:val="37"/>
    <w:qFormat/>
    <w:uiPriority w:val="0"/>
    <w:pPr>
      <w:adjustRightInd w:val="0"/>
      <w:spacing w:line="578" w:lineRule="atLeast"/>
      <w:jc w:val="center"/>
      <w:textAlignment w:val="baseline"/>
    </w:pPr>
    <w:rPr>
      <w:rFonts w:ascii="Arial" w:hAnsi="Arial"/>
      <w:b/>
      <w:color w:val="000000"/>
      <w:kern w:val="0"/>
      <w:sz w:val="20"/>
      <w:lang w:val="zh-CN"/>
    </w:rPr>
  </w:style>
  <w:style w:type="paragraph" w:styleId="18">
    <w:name w:val="footnote text"/>
    <w:basedOn w:val="1"/>
    <w:link w:val="34"/>
    <w:qFormat/>
    <w:uiPriority w:val="99"/>
    <w:pPr>
      <w:snapToGrid w:val="0"/>
      <w:jc w:val="left"/>
    </w:pPr>
    <w:rPr>
      <w:rFonts w:ascii="Calibri" w:hAnsi="Calibri"/>
      <w:kern w:val="0"/>
      <w:sz w:val="18"/>
      <w:szCs w:val="18"/>
      <w:lang w:val="zh-CN"/>
    </w:rPr>
  </w:style>
  <w:style w:type="paragraph" w:styleId="19">
    <w:name w:val="index 9"/>
    <w:basedOn w:val="1"/>
    <w:next w:val="1"/>
    <w:unhideWhenUsed/>
    <w:qFormat/>
    <w:uiPriority w:val="99"/>
    <w:pPr>
      <w:ind w:left="1600" w:leftChars="1600"/>
    </w:pPr>
    <w:rPr>
      <w:rFonts w:cs="仿宋_GB2312"/>
      <w:kern w:val="0"/>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48"/>
    <w:unhideWhenUsed/>
    <w:qFormat/>
    <w:uiPriority w:val="0"/>
    <w:rPr>
      <w:b/>
      <w:bCs/>
    </w:rPr>
  </w:style>
  <w:style w:type="paragraph" w:styleId="22">
    <w:name w:val="Body Text First Indent 2"/>
    <w:basedOn w:val="10"/>
    <w:unhideWhenUsed/>
    <w:qFormat/>
    <w:uiPriority w:val="99"/>
    <w:pPr>
      <w:ind w:firstLine="420"/>
    </w:pPr>
  </w:style>
  <w:style w:type="character" w:styleId="25">
    <w:name w:val="Strong"/>
    <w:basedOn w:val="24"/>
    <w:qFormat/>
    <w:locked/>
    <w:uiPriority w:val="22"/>
    <w:rPr>
      <w:b/>
      <w:bCs/>
    </w:rPr>
  </w:style>
  <w:style w:type="character" w:styleId="26">
    <w:name w:val="page number"/>
    <w:basedOn w:val="24"/>
    <w:qFormat/>
    <w:uiPriority w:val="0"/>
  </w:style>
  <w:style w:type="character" w:styleId="27">
    <w:name w:val="annotation reference"/>
    <w:basedOn w:val="24"/>
    <w:unhideWhenUsed/>
    <w:qFormat/>
    <w:uiPriority w:val="0"/>
    <w:rPr>
      <w:sz w:val="21"/>
      <w:szCs w:val="21"/>
    </w:rPr>
  </w:style>
  <w:style w:type="character" w:styleId="28">
    <w:name w:val="footnote reference"/>
    <w:qFormat/>
    <w:uiPriority w:val="0"/>
    <w:rPr>
      <w:vertAlign w:val="superscript"/>
    </w:rPr>
  </w:style>
  <w:style w:type="paragraph" w:customStyle="1" w:styleId="29">
    <w:name w:val="-1标题"/>
    <w:basedOn w:val="1"/>
    <w:qFormat/>
    <w:uiPriority w:val="0"/>
    <w:pPr>
      <w:tabs>
        <w:tab w:val="left" w:pos="3038"/>
      </w:tabs>
      <w:overflowPunct w:val="0"/>
      <w:snapToGrid w:val="0"/>
      <w:ind w:firstLine="0" w:firstLineChars="0"/>
      <w:jc w:val="center"/>
    </w:pPr>
    <w:rPr>
      <w:rFonts w:hint="eastAsia" w:ascii="黑体" w:hAnsi="黑体" w:eastAsia="黑体" w:cs="黑体"/>
      <w:snapToGrid w:val="0"/>
      <w:kern w:val="0"/>
      <w:sz w:val="36"/>
      <w:szCs w:val="36"/>
    </w:rPr>
  </w:style>
  <w:style w:type="paragraph" w:customStyle="1" w:styleId="30">
    <w:name w:val="Char"/>
    <w:basedOn w:val="1"/>
    <w:qFormat/>
    <w:uiPriority w:val="0"/>
    <w:rPr>
      <w:rFonts w:ascii="Tahoma" w:hAnsi="Tahoma"/>
      <w:sz w:val="24"/>
    </w:rPr>
  </w:style>
  <w:style w:type="character" w:customStyle="1" w:styleId="31">
    <w:name w:val="批注框文本 Char"/>
    <w:link w:val="13"/>
    <w:semiHidden/>
    <w:qFormat/>
    <w:locked/>
    <w:uiPriority w:val="0"/>
    <w:rPr>
      <w:rFonts w:ascii="Times New Roman" w:hAnsi="Times New Roman" w:eastAsia="宋体" w:cs="Times New Roman"/>
      <w:sz w:val="18"/>
      <w:szCs w:val="18"/>
    </w:rPr>
  </w:style>
  <w:style w:type="character" w:customStyle="1" w:styleId="32">
    <w:name w:val="页眉 Char"/>
    <w:link w:val="15"/>
    <w:qFormat/>
    <w:locked/>
    <w:uiPriority w:val="0"/>
    <w:rPr>
      <w:rFonts w:ascii="Times New Roman" w:hAnsi="Times New Roman" w:eastAsia="宋体" w:cs="Times New Roman"/>
      <w:sz w:val="18"/>
      <w:szCs w:val="18"/>
    </w:rPr>
  </w:style>
  <w:style w:type="character" w:customStyle="1" w:styleId="33">
    <w:name w:val="页脚 Char"/>
    <w:link w:val="14"/>
    <w:qFormat/>
    <w:locked/>
    <w:uiPriority w:val="0"/>
    <w:rPr>
      <w:rFonts w:ascii="Times New Roman" w:hAnsi="Times New Roman" w:eastAsia="宋体" w:cs="Times New Roman"/>
      <w:sz w:val="18"/>
      <w:szCs w:val="18"/>
    </w:rPr>
  </w:style>
  <w:style w:type="character" w:customStyle="1" w:styleId="34">
    <w:name w:val="脚注文本 Char"/>
    <w:link w:val="18"/>
    <w:qFormat/>
    <w:locked/>
    <w:uiPriority w:val="99"/>
    <w:rPr>
      <w:rFonts w:ascii="Calibri" w:hAnsi="Calibri" w:eastAsia="宋体" w:cs="Times New Roman"/>
      <w:sz w:val="18"/>
      <w:szCs w:val="18"/>
    </w:rPr>
  </w:style>
  <w:style w:type="character" w:customStyle="1" w:styleId="35">
    <w:name w:val="日期 Char"/>
    <w:link w:val="12"/>
    <w:semiHidden/>
    <w:qFormat/>
    <w:locked/>
    <w:uiPriority w:val="0"/>
    <w:rPr>
      <w:rFonts w:ascii="Times New Roman" w:hAnsi="Times New Roman" w:eastAsia="宋体" w:cs="Times New Roman"/>
      <w:sz w:val="20"/>
      <w:szCs w:val="20"/>
    </w:rPr>
  </w:style>
  <w:style w:type="character" w:customStyle="1" w:styleId="36">
    <w:name w:val="正文文本 Char"/>
    <w:link w:val="9"/>
    <w:qFormat/>
    <w:locked/>
    <w:uiPriority w:val="0"/>
    <w:rPr>
      <w:rFonts w:ascii="Times New Roman" w:hAnsi="Times New Roman" w:eastAsia="仿宋_GB2312" w:cs="Times New Roman"/>
      <w:sz w:val="20"/>
      <w:szCs w:val="20"/>
    </w:rPr>
  </w:style>
  <w:style w:type="character" w:customStyle="1" w:styleId="37">
    <w:name w:val="副标题 Char"/>
    <w:link w:val="17"/>
    <w:qFormat/>
    <w:locked/>
    <w:uiPriority w:val="0"/>
    <w:rPr>
      <w:rFonts w:ascii="Arial" w:hAnsi="Arial" w:eastAsia="宋体" w:cs="Times New Roman"/>
      <w:b/>
      <w:color w:val="000000"/>
      <w:kern w:val="0"/>
      <w:sz w:val="20"/>
      <w:szCs w:val="20"/>
    </w:rPr>
  </w:style>
  <w:style w:type="character" w:customStyle="1" w:styleId="38">
    <w:name w:val="p141"/>
    <w:qFormat/>
    <w:uiPriority w:val="0"/>
    <w:rPr>
      <w:sz w:val="21"/>
      <w:u w:val="none"/>
    </w:rPr>
  </w:style>
  <w:style w:type="paragraph" w:customStyle="1" w:styleId="39">
    <w:name w:val="列出段落1"/>
    <w:basedOn w:val="1"/>
    <w:qFormat/>
    <w:uiPriority w:val="34"/>
    <w:pPr>
      <w:ind w:firstLine="420"/>
    </w:pPr>
    <w:rPr>
      <w:rFonts w:ascii="Calibri" w:hAnsi="Calibri"/>
      <w:szCs w:val="22"/>
    </w:rPr>
  </w:style>
  <w:style w:type="paragraph" w:customStyle="1" w:styleId="40">
    <w:name w:val="主题词"/>
    <w:basedOn w:val="1"/>
    <w:qFormat/>
    <w:uiPriority w:val="0"/>
    <w:pPr>
      <w:adjustRightInd w:val="0"/>
      <w:spacing w:line="578" w:lineRule="atLeast"/>
      <w:textAlignment w:val="baseline"/>
    </w:pPr>
    <w:rPr>
      <w:rFonts w:ascii="宋体" w:hAnsi="Arial"/>
      <w:b/>
      <w:color w:val="000000"/>
      <w:kern w:val="0"/>
    </w:rPr>
  </w:style>
  <w:style w:type="character" w:customStyle="1" w:styleId="41">
    <w:name w:val="NormalCharacter"/>
    <w:qFormat/>
    <w:uiPriority w:val="0"/>
  </w:style>
  <w:style w:type="paragraph" w:customStyle="1" w:styleId="42">
    <w:name w:val="Char Char2"/>
    <w:basedOn w:val="1"/>
    <w:qFormat/>
    <w:uiPriority w:val="0"/>
    <w:pPr>
      <w:widowControl/>
      <w:spacing w:after="160" w:line="240" w:lineRule="exact"/>
      <w:jc w:val="left"/>
    </w:pPr>
    <w:rPr>
      <w:rFonts w:ascii="Verdana" w:hAnsi="Verdana"/>
      <w:kern w:val="0"/>
      <w:sz w:val="24"/>
      <w:lang w:eastAsia="en-US"/>
    </w:rPr>
  </w:style>
  <w:style w:type="paragraph" w:customStyle="1" w:styleId="43">
    <w:name w:val="列出段落2"/>
    <w:basedOn w:val="1"/>
    <w:qFormat/>
    <w:uiPriority w:val="99"/>
    <w:pPr>
      <w:ind w:firstLine="420"/>
    </w:pPr>
  </w:style>
  <w:style w:type="paragraph" w:customStyle="1" w:styleId="4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45">
    <w:name w:val="Char Char"/>
    <w:basedOn w:val="1"/>
    <w:qFormat/>
    <w:uiPriority w:val="0"/>
    <w:rPr>
      <w:rFonts w:ascii="Tahoma" w:hAnsi="Tahoma"/>
      <w:sz w:val="24"/>
    </w:rPr>
  </w:style>
  <w:style w:type="paragraph" w:customStyle="1" w:styleId="46">
    <w:name w:val="Char Char1"/>
    <w:basedOn w:val="1"/>
    <w:qFormat/>
    <w:uiPriority w:val="0"/>
    <w:rPr>
      <w:rFonts w:ascii="Tahoma" w:hAnsi="Tahoma"/>
      <w:sz w:val="24"/>
    </w:rPr>
  </w:style>
  <w:style w:type="character" w:customStyle="1" w:styleId="47">
    <w:name w:val="批注文字 Char"/>
    <w:basedOn w:val="24"/>
    <w:link w:val="8"/>
    <w:semiHidden/>
    <w:qFormat/>
    <w:uiPriority w:val="0"/>
    <w:rPr>
      <w:rFonts w:ascii="Times New Roman" w:hAnsi="Times New Roman"/>
      <w:kern w:val="2"/>
      <w:sz w:val="21"/>
    </w:rPr>
  </w:style>
  <w:style w:type="character" w:customStyle="1" w:styleId="48">
    <w:name w:val="批注主题 Char"/>
    <w:basedOn w:val="47"/>
    <w:link w:val="21"/>
    <w:semiHidden/>
    <w:qFormat/>
    <w:uiPriority w:val="0"/>
    <w:rPr>
      <w:rFonts w:ascii="Times New Roman" w:hAnsi="Times New Roman"/>
      <w:b/>
      <w:bCs/>
      <w:kern w:val="2"/>
      <w:sz w:val="21"/>
    </w:rPr>
  </w:style>
  <w:style w:type="character" w:customStyle="1" w:styleId="49">
    <w:name w:val="正文文本缩进 Char"/>
    <w:basedOn w:val="24"/>
    <w:link w:val="10"/>
    <w:semiHidden/>
    <w:qFormat/>
    <w:uiPriority w:val="0"/>
    <w:rPr>
      <w:rFonts w:ascii="Times New Roman" w:hAnsi="Times New Roman"/>
      <w:kern w:val="2"/>
      <w:sz w:val="21"/>
    </w:rPr>
  </w:style>
  <w:style w:type="character" w:customStyle="1" w:styleId="50">
    <w:name w:val="标题 1 Char"/>
    <w:link w:val="2"/>
    <w:qFormat/>
    <w:uiPriority w:val="0"/>
    <w:rPr>
      <w:rFonts w:ascii="黑体" w:hAnsi="黑体" w:eastAsia="黑体" w:cs="仿宋_GB2312"/>
      <w:kern w:val="4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787CE-C03A-459E-9034-AE1F4222C88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38</Pages>
  <Words>2959</Words>
  <Characters>16871</Characters>
  <Lines>140</Lines>
  <Paragraphs>39</Paragraphs>
  <TotalTime>76</TotalTime>
  <ScaleCrop>false</ScaleCrop>
  <LinksUpToDate>false</LinksUpToDate>
  <CharactersWithSpaces>19791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2021-12-13T04:02:00Z</dcterms:created>
  <dc:creator>赵欣</dc:creator>
  <cp:lastModifiedBy>wangjing</cp:lastModifiedBy>
  <cp:lastPrinted>2023-12-31T12:45:00Z</cp:lastPrinted>
  <dcterms:modified xsi:type="dcterms:W3CDTF">2024-01-08T02:06:49Z</dcterms:modified>
  <dc:title>区十五届六次人代会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AF0FDB0E31134A19956D2A4565E656E6</vt:lpwstr>
  </property>
</Properties>
</file>