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E7AC6">
      <w:pPr>
        <w:adjustRightInd w:val="0"/>
        <w:spacing w:line="540" w:lineRule="exact"/>
        <w:jc w:val="center"/>
        <w:textAlignment w:val="baseline"/>
        <w:rPr>
          <w:rFonts w:hint="eastAsia" w:ascii="方正小标宋简体" w:hAnsi="方正小标宋简体" w:eastAsia="方正小标宋简体" w:cs="方正小标宋简体"/>
          <w:b w:val="0"/>
          <w:bCs w:val="0"/>
          <w:kern w:val="0"/>
          <w:sz w:val="44"/>
          <w:szCs w:val="44"/>
        </w:rPr>
      </w:pPr>
      <w:bookmarkStart w:id="2" w:name="_GoBack"/>
      <w:bookmarkEnd w:id="2"/>
    </w:p>
    <w:p w14:paraId="273CC96B">
      <w:pPr>
        <w:adjustRightInd w:val="0"/>
        <w:spacing w:line="540" w:lineRule="exact"/>
        <w:jc w:val="center"/>
        <w:textAlignment w:val="baseline"/>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关于海淀区2022年国民经济和社会发展</w:t>
      </w:r>
    </w:p>
    <w:p w14:paraId="0DB10628">
      <w:pPr>
        <w:spacing w:line="540" w:lineRule="exact"/>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计划执行情况与2023年国民经济和</w:t>
      </w:r>
    </w:p>
    <w:p w14:paraId="3D9C5ADD">
      <w:pPr>
        <w:spacing w:line="540" w:lineRule="exact"/>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社会发展计划的报告</w:t>
      </w:r>
    </w:p>
    <w:p w14:paraId="4E58F28C">
      <w:pPr>
        <w:pStyle w:val="2"/>
        <w:spacing w:line="540" w:lineRule="exact"/>
        <w:jc w:val="center"/>
        <w:rPr>
          <w:b w:val="0"/>
          <w:bCs w:val="0"/>
        </w:rPr>
      </w:pPr>
    </w:p>
    <w:p w14:paraId="7CBB02A3">
      <w:pPr>
        <w:adjustRightInd w:val="0"/>
        <w:snapToGrid w:val="0"/>
        <w:spacing w:line="540" w:lineRule="exact"/>
        <w:ind w:firstLine="640" w:firstLineChars="200"/>
        <w:rPr>
          <w:rFonts w:ascii="黑体" w:hAnsi="黑体" w:eastAsia="黑体"/>
          <w:b w:val="0"/>
          <w:bCs w:val="0"/>
          <w:sz w:val="32"/>
          <w:szCs w:val="32"/>
        </w:rPr>
      </w:pPr>
      <w:r>
        <w:rPr>
          <w:rFonts w:hint="eastAsia" w:ascii="黑体" w:hAnsi="黑体" w:eastAsia="黑体"/>
          <w:b w:val="0"/>
          <w:bCs w:val="0"/>
          <w:sz w:val="32"/>
          <w:szCs w:val="32"/>
        </w:rPr>
        <w:t>一、</w:t>
      </w:r>
      <w:r>
        <w:rPr>
          <w:rFonts w:ascii="黑体" w:hAnsi="黑体" w:eastAsia="黑体"/>
          <w:b w:val="0"/>
          <w:bCs w:val="0"/>
          <w:sz w:val="32"/>
          <w:szCs w:val="32"/>
        </w:rPr>
        <w:t>2022</w:t>
      </w:r>
      <w:r>
        <w:rPr>
          <w:rFonts w:hint="eastAsia" w:ascii="黑体" w:hAnsi="黑体" w:eastAsia="黑体"/>
          <w:b w:val="0"/>
          <w:bCs w:val="0"/>
          <w:sz w:val="32"/>
          <w:szCs w:val="32"/>
        </w:rPr>
        <w:t>年国民经济和社会发展计划执行情况</w:t>
      </w:r>
    </w:p>
    <w:p w14:paraId="6DD85181">
      <w:pPr>
        <w:adjustRightInd w:val="0"/>
        <w:snapToGrid w:val="0"/>
        <w:spacing w:line="540" w:lineRule="exact"/>
        <w:ind w:firstLine="640" w:firstLineChars="200"/>
        <w:rPr>
          <w:rFonts w:ascii="仿宋_GB2312" w:hAnsi="仿宋" w:eastAsia="仿宋_GB2312"/>
          <w:b w:val="0"/>
          <w:bCs w:val="0"/>
          <w:sz w:val="32"/>
          <w:szCs w:val="32"/>
        </w:rPr>
      </w:pPr>
      <w:r>
        <w:rPr>
          <w:rFonts w:ascii="仿宋_GB2312" w:hAnsi="仿宋" w:eastAsia="仿宋_GB2312" w:cs="仿宋"/>
          <w:b w:val="0"/>
          <w:bCs w:val="0"/>
          <w:sz w:val="32"/>
          <w:szCs w:val="32"/>
        </w:rPr>
        <w:t>2022年，</w:t>
      </w:r>
      <w:r>
        <w:rPr>
          <w:rFonts w:hint="eastAsia" w:ascii="仿宋_GB2312" w:hAnsi="仿宋" w:eastAsia="仿宋_GB2312" w:cs="仿宋"/>
          <w:b w:val="0"/>
          <w:bCs w:val="0"/>
          <w:sz w:val="32"/>
          <w:szCs w:val="32"/>
        </w:rPr>
        <w:t>面对国际形势更趋复杂严峻、国内疫情多发散发等超预期突发因素带来的严重冲击，全区上下</w:t>
      </w:r>
      <w:r>
        <w:rPr>
          <w:rFonts w:hint="eastAsia" w:ascii="仿宋_GB2312" w:hAnsi="仿宋" w:eastAsia="仿宋_GB2312"/>
          <w:b w:val="0"/>
          <w:bCs w:val="0"/>
          <w:sz w:val="32"/>
          <w:szCs w:val="32"/>
        </w:rPr>
        <w:t>在市委市政府和区委坚强领导下，在区人大监督支持下，坚持以习近平新时代中国特色社会主义思想为指导，深入学习贯彻党的二十大精神，</w:t>
      </w:r>
      <w:r>
        <w:rPr>
          <w:rFonts w:ascii="仿宋_GB2312" w:hAnsi="仿宋" w:eastAsia="仿宋_GB2312" w:cs="仿宋"/>
          <w:b w:val="0"/>
          <w:bCs w:val="0"/>
          <w:sz w:val="32"/>
          <w:szCs w:val="32"/>
        </w:rPr>
        <w:t>坚决贯彻党中央</w:t>
      </w:r>
      <w:r>
        <w:rPr>
          <w:rFonts w:hint="eastAsia" w:ascii="仿宋_GB2312" w:hAnsi="仿宋_GB2312" w:eastAsia="仿宋_GB2312" w:cs="仿宋_GB2312"/>
          <w:b w:val="0"/>
          <w:bCs w:val="0"/>
          <w:sz w:val="32"/>
          <w:szCs w:val="32"/>
        </w:rPr>
        <w:t>“疫情要防住、经济要稳住、发展要安全”总</w:t>
      </w:r>
      <w:r>
        <w:rPr>
          <w:rFonts w:hint="eastAsia" w:ascii="仿宋_GB2312" w:hAnsi="仿宋" w:eastAsia="仿宋_GB2312" w:cs="仿宋"/>
          <w:b w:val="0"/>
          <w:bCs w:val="0"/>
          <w:sz w:val="32"/>
          <w:szCs w:val="32"/>
        </w:rPr>
        <w:t>体要求</w:t>
      </w:r>
      <w:r>
        <w:rPr>
          <w:rFonts w:hint="eastAsia" w:ascii="仿宋_GB2312" w:hAnsi="宋体" w:eastAsia="仿宋_GB2312"/>
          <w:b w:val="0"/>
          <w:bCs w:val="0"/>
          <w:sz w:val="32"/>
          <w:szCs w:val="32"/>
        </w:rPr>
        <w:t>，统筹疫情防控和经济社会发展，对标“三个走在最前头”目标要求，</w:t>
      </w:r>
      <w:r>
        <w:rPr>
          <w:rFonts w:hint="eastAsia" w:ascii="仿宋_GB2312" w:hAnsi="仿宋" w:eastAsia="仿宋_GB2312" w:cs="仿宋"/>
          <w:b w:val="0"/>
          <w:bCs w:val="0"/>
          <w:sz w:val="32"/>
          <w:szCs w:val="32"/>
        </w:rPr>
        <w:t>圆满</w:t>
      </w:r>
      <w:r>
        <w:rPr>
          <w:rFonts w:ascii="仿宋_GB2312" w:hAnsi="仿宋" w:eastAsia="仿宋_GB2312" w:cs="仿宋"/>
          <w:b w:val="0"/>
          <w:bCs w:val="0"/>
          <w:sz w:val="32"/>
          <w:szCs w:val="32"/>
        </w:rPr>
        <w:t>完成冬奥会、冬残奥会</w:t>
      </w:r>
      <w:r>
        <w:rPr>
          <w:rFonts w:hint="eastAsia" w:ascii="仿宋_GB2312" w:hAnsi="仿宋" w:eastAsia="仿宋_GB2312" w:cs="仿宋"/>
          <w:b w:val="0"/>
          <w:bCs w:val="0"/>
          <w:sz w:val="32"/>
          <w:szCs w:val="32"/>
        </w:rPr>
        <w:t>、二十大服务</w:t>
      </w:r>
      <w:r>
        <w:rPr>
          <w:rFonts w:ascii="仿宋_GB2312" w:hAnsi="仿宋" w:eastAsia="仿宋_GB2312" w:cs="仿宋"/>
          <w:b w:val="0"/>
          <w:bCs w:val="0"/>
          <w:sz w:val="32"/>
          <w:szCs w:val="32"/>
        </w:rPr>
        <w:t>保障</w:t>
      </w:r>
      <w:r>
        <w:rPr>
          <w:rFonts w:hint="eastAsia" w:ascii="仿宋_GB2312" w:hAnsi="仿宋" w:eastAsia="仿宋_GB2312" w:cs="仿宋"/>
          <w:b w:val="0"/>
          <w:bCs w:val="0"/>
          <w:sz w:val="32"/>
          <w:szCs w:val="32"/>
        </w:rPr>
        <w:t>任务</w:t>
      </w:r>
      <w:r>
        <w:rPr>
          <w:rFonts w:ascii="仿宋_GB2312" w:hAnsi="仿宋" w:eastAsia="仿宋_GB2312" w:cs="仿宋"/>
          <w:b w:val="0"/>
          <w:bCs w:val="0"/>
          <w:sz w:val="32"/>
          <w:szCs w:val="32"/>
        </w:rPr>
        <w:t>，</w:t>
      </w:r>
      <w:r>
        <w:rPr>
          <w:rFonts w:hint="eastAsia" w:ascii="仿宋_GB2312" w:hAnsi="仿宋" w:eastAsia="仿宋_GB2312"/>
          <w:b w:val="0"/>
          <w:bCs w:val="0"/>
          <w:sz w:val="32"/>
          <w:szCs w:val="32"/>
        </w:rPr>
        <w:t>较好地完成了区十七届人大一次会议确定的目标任务，全区发展质量稳步提升，科技创新成果丰硕，各项改革任务全面深化，就业物价基本平稳，保持了经济社会大局稳定。这些成绩是在外部环境复杂严峻、疫情防控从严从紧、减量发展深入推进的背景下取得的，来之不易、充满艰辛，凝聚了全区人民的集体智慧和力量，展现了强大韧性和活力。</w:t>
      </w:r>
    </w:p>
    <w:p w14:paraId="4FE46AD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b w:val="0"/>
          <w:bCs w:val="0"/>
          <w:sz w:val="32"/>
          <w:szCs w:val="32"/>
        </w:rPr>
      </w:pPr>
      <w:r>
        <w:rPr>
          <w:rFonts w:hint="eastAsia" w:ascii="仿宋_GB2312" w:hAnsi="仿宋"/>
          <w:b w:val="0"/>
          <w:bCs w:val="0"/>
          <w:sz w:val="32"/>
          <w:szCs w:val="32"/>
        </w:rPr>
        <w:t>一年来，重点做了以下五个方面工作：</w:t>
      </w:r>
    </w:p>
    <w:p w14:paraId="57CBFFDA">
      <w:pPr>
        <w:pStyle w:val="4"/>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ascii="楷体_GB2312" w:eastAsia="楷体_GB2312"/>
          <w:b w:val="0"/>
          <w:bCs w:val="0"/>
        </w:rPr>
      </w:pPr>
      <w:r>
        <w:rPr>
          <w:rFonts w:hint="eastAsia" w:ascii="楷体_GB2312" w:eastAsia="楷体_GB2312"/>
          <w:b w:val="0"/>
          <w:bCs w:val="0"/>
        </w:rPr>
        <w:t>（一）大力推进复工复产，持续稳定经济增长</w:t>
      </w:r>
    </w:p>
    <w:p w14:paraId="3BD524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宋体" w:eastAsia="仿宋_GB2312"/>
          <w:b w:val="0"/>
          <w:bCs w:val="0"/>
          <w:sz w:val="32"/>
          <w:szCs w:val="32"/>
        </w:rPr>
      </w:pPr>
      <w:r>
        <w:rPr>
          <w:rFonts w:hint="eastAsia" w:ascii="仿宋_GB2312" w:eastAsia="仿宋_GB2312" w:cs="仿宋_GB2312"/>
          <w:b w:val="0"/>
          <w:bCs w:val="0"/>
          <w:kern w:val="0"/>
          <w:sz w:val="32"/>
          <w:szCs w:val="32"/>
          <w:lang w:bidi="en-US"/>
        </w:rPr>
        <w:t>疫情防控</w:t>
      </w:r>
      <w:r>
        <w:rPr>
          <w:rFonts w:hint="eastAsia" w:ascii="仿宋_GB2312" w:eastAsia="仿宋_GB2312" w:cs="仿宋_GB2312"/>
          <w:b w:val="0"/>
          <w:bCs w:val="0"/>
          <w:kern w:val="0"/>
          <w:sz w:val="32"/>
          <w:szCs w:val="32"/>
          <w:lang w:eastAsia="zh-CN" w:bidi="en-US"/>
        </w:rPr>
        <w:t>紧抓不懈</w:t>
      </w:r>
      <w:r>
        <w:rPr>
          <w:rFonts w:hint="eastAsia" w:ascii="仿宋_GB2312" w:eastAsia="仿宋_GB2312" w:cs="仿宋_GB2312"/>
          <w:b w:val="0"/>
          <w:bCs w:val="0"/>
          <w:kern w:val="0"/>
          <w:sz w:val="32"/>
          <w:szCs w:val="32"/>
          <w:lang w:bidi="en-US"/>
        </w:rPr>
        <w:t>。</w:t>
      </w:r>
      <w:r>
        <w:rPr>
          <w:rFonts w:hint="eastAsia" w:ascii="仿宋_GB2312" w:eastAsia="仿宋_GB2312" w:cs="仿宋_GB2312"/>
          <w:b w:val="0"/>
          <w:bCs w:val="0"/>
          <w:kern w:val="0"/>
          <w:sz w:val="32"/>
          <w:szCs w:val="32"/>
          <w:lang w:eastAsia="zh-CN" w:bidi="en-US"/>
        </w:rPr>
        <w:t>组建</w:t>
      </w:r>
      <w:r>
        <w:rPr>
          <w:rFonts w:hint="eastAsia" w:ascii="仿宋_GB2312" w:eastAsia="仿宋_GB2312" w:cs="仿宋_GB2312"/>
          <w:b w:val="0"/>
          <w:bCs w:val="0"/>
          <w:kern w:val="0"/>
          <w:sz w:val="32"/>
          <w:szCs w:val="32"/>
          <w:lang w:val="en-US" w:eastAsia="zh-CN" w:bidi="en-US"/>
        </w:rPr>
        <w:t>8小时应急处置指挥部和5+N、转运等工作专班，</w:t>
      </w:r>
      <w:r>
        <w:rPr>
          <w:rFonts w:hint="eastAsia" w:ascii="仿宋_GB2312" w:hAnsi="宋体" w:eastAsia="仿宋_GB2312"/>
          <w:b w:val="0"/>
          <w:bCs w:val="0"/>
          <w:sz w:val="32"/>
          <w:szCs w:val="32"/>
        </w:rPr>
        <w:t>动态更新防疫政策，有力</w:t>
      </w:r>
      <w:r>
        <w:rPr>
          <w:rFonts w:hint="eastAsia" w:ascii="仿宋_GB2312" w:hAnsi="宋体" w:eastAsia="仿宋_GB2312"/>
          <w:b w:val="0"/>
          <w:bCs w:val="0"/>
          <w:sz w:val="32"/>
          <w:szCs w:val="32"/>
          <w:lang w:eastAsia="zh-CN"/>
        </w:rPr>
        <w:t>应对多轮疫情冲击</w:t>
      </w:r>
      <w:r>
        <w:rPr>
          <w:rFonts w:hint="eastAsia" w:ascii="仿宋_GB2312" w:hAnsi="宋体" w:eastAsia="仿宋_GB2312"/>
          <w:b w:val="0"/>
          <w:bCs w:val="0"/>
          <w:sz w:val="32"/>
          <w:szCs w:val="32"/>
        </w:rPr>
        <w:t>。</w:t>
      </w:r>
      <w:r>
        <w:rPr>
          <w:rFonts w:hint="eastAsia" w:ascii="仿宋_GB2312" w:hAnsi="仿宋_GB2312" w:eastAsia="仿宋_GB2312" w:cs="仿宋_GB2312"/>
          <w:b w:val="0"/>
          <w:bCs w:val="0"/>
          <w:sz w:val="32"/>
          <w:szCs w:val="32"/>
          <w:lang w:eastAsia="zh-CN"/>
        </w:rPr>
        <w:t>高效建成凤凰山庄健康驿站和</w:t>
      </w:r>
      <w:r>
        <w:rPr>
          <w:rFonts w:hint="eastAsia" w:ascii="仿宋_GB2312" w:hAnsi="仿宋_GB2312" w:eastAsia="仿宋_GB2312" w:cs="仿宋_GB2312"/>
          <w:b w:val="0"/>
          <w:bCs w:val="0"/>
          <w:sz w:val="32"/>
          <w:szCs w:val="32"/>
          <w:lang w:val="en-US" w:eastAsia="zh-CN"/>
        </w:rPr>
        <w:t>3家方舱医院</w:t>
      </w:r>
      <w:r>
        <w:rPr>
          <w:rFonts w:hint="eastAsia" w:ascii="仿宋_GB2312" w:hAnsi="仿宋_GB2312" w:eastAsia="仿宋_GB2312" w:cs="仿宋_GB2312"/>
          <w:b w:val="0"/>
          <w:bCs w:val="0"/>
          <w:sz w:val="32"/>
          <w:szCs w:val="32"/>
          <w:lang w:eastAsia="zh-CN"/>
        </w:rPr>
        <w:t>，将上地医院改造为定点救治医院，</w:t>
      </w:r>
      <w:r>
        <w:rPr>
          <w:rFonts w:hint="eastAsia" w:ascii="仿宋_GB2312" w:hAnsi="宋体" w:eastAsia="仿宋_GB2312"/>
          <w:b w:val="0"/>
          <w:bCs w:val="0"/>
          <w:sz w:val="32"/>
          <w:szCs w:val="32"/>
          <w:lang w:eastAsia="zh-CN"/>
        </w:rPr>
        <w:t>推动全区</w:t>
      </w:r>
      <w:r>
        <w:rPr>
          <w:rFonts w:hint="eastAsia" w:ascii="仿宋_GB2312" w:hAnsi="宋体" w:eastAsia="仿宋_GB2312"/>
          <w:b w:val="0"/>
          <w:bCs w:val="0"/>
          <w:sz w:val="32"/>
          <w:szCs w:val="32"/>
          <w:lang w:val="en-US" w:eastAsia="zh-CN"/>
        </w:rPr>
        <w:t>101家二三级医疗机构和社区卫生服务中心全部开设发热门诊，不断提升观察救治能力。建成投用</w:t>
      </w:r>
      <w:r>
        <w:rPr>
          <w:rFonts w:ascii="仿宋_GB2312" w:hAnsi="仿宋_GB2312" w:eastAsia="仿宋_GB2312" w:cs="仿宋_GB2312"/>
          <w:b w:val="0"/>
          <w:bCs w:val="0"/>
          <w:sz w:val="32"/>
          <w:szCs w:val="32"/>
        </w:rPr>
        <w:t>海淀区进口冷链食品首站中转查验库</w:t>
      </w:r>
      <w:r>
        <w:rPr>
          <w:rFonts w:hint="eastAsia" w:ascii="仿宋_GB2312" w:hAnsi="仿宋_GB2312" w:eastAsia="仿宋_GB2312" w:cs="仿宋_GB2312"/>
          <w:b w:val="0"/>
          <w:bCs w:val="0"/>
          <w:sz w:val="32"/>
          <w:szCs w:val="32"/>
          <w:lang w:eastAsia="zh-CN"/>
        </w:rPr>
        <w:t>，强化进口货物防控</w:t>
      </w:r>
      <w:r>
        <w:rPr>
          <w:rFonts w:hint="eastAsia" w:ascii="仿宋_GB2312" w:hAnsi="宋体" w:eastAsia="仿宋_GB2312"/>
          <w:b w:val="0"/>
          <w:bCs w:val="0"/>
          <w:sz w:val="32"/>
          <w:szCs w:val="32"/>
        </w:rPr>
        <w:t>。率先搭建市场智行系统，实现市场、药店场所智能通行和从业人员闭环管理。</w:t>
      </w:r>
      <w:r>
        <w:rPr>
          <w:rFonts w:hint="eastAsia" w:ascii="仿宋_GB2312" w:hAnsi="宋体" w:eastAsia="仿宋_GB2312"/>
          <w:b w:val="0"/>
          <w:bCs w:val="0"/>
          <w:sz w:val="32"/>
          <w:szCs w:val="32"/>
          <w:lang w:eastAsia="zh-CN"/>
        </w:rPr>
        <w:t>建设</w:t>
      </w:r>
      <w:r>
        <w:rPr>
          <w:rFonts w:ascii="仿宋_GB2312" w:hAnsi="仿宋_GB2312" w:eastAsia="仿宋_GB2312" w:cs="仿宋_GB2312"/>
          <w:b w:val="0"/>
          <w:bCs w:val="0"/>
          <w:sz w:val="32"/>
          <w:szCs w:val="32"/>
        </w:rPr>
        <w:t>10万管核酸检测</w:t>
      </w:r>
      <w:r>
        <w:rPr>
          <w:rFonts w:hint="eastAsia" w:ascii="仿宋_GB2312" w:hAnsi="仿宋_GB2312" w:eastAsia="仿宋_GB2312" w:cs="仿宋_GB2312"/>
          <w:b w:val="0"/>
          <w:bCs w:val="0"/>
          <w:sz w:val="32"/>
          <w:szCs w:val="32"/>
        </w:rPr>
        <w:t>能力</w:t>
      </w:r>
      <w:r>
        <w:rPr>
          <w:rFonts w:ascii="仿宋_GB2312" w:hAnsi="仿宋_GB2312" w:eastAsia="仿宋_GB2312" w:cs="仿宋_GB2312"/>
          <w:b w:val="0"/>
          <w:bCs w:val="0"/>
          <w:sz w:val="32"/>
          <w:szCs w:val="32"/>
        </w:rPr>
        <w:t>实验室</w:t>
      </w:r>
      <w:r>
        <w:rPr>
          <w:rFonts w:hint="eastAsia" w:ascii="仿宋_GB2312" w:hAnsi="仿宋_GB2312" w:eastAsia="仿宋_GB2312" w:cs="仿宋_GB2312"/>
          <w:b w:val="0"/>
          <w:bCs w:val="0"/>
          <w:sz w:val="32"/>
          <w:szCs w:val="32"/>
          <w:lang w:eastAsia="zh-CN"/>
        </w:rPr>
        <w:t>，</w:t>
      </w:r>
      <w:r>
        <w:rPr>
          <w:rFonts w:hint="eastAsia" w:ascii="仿宋_GB2312" w:hAnsi="宋体" w:eastAsia="仿宋_GB2312"/>
          <w:b w:val="0"/>
          <w:bCs w:val="0"/>
          <w:sz w:val="32"/>
          <w:szCs w:val="32"/>
          <w:lang w:eastAsia="zh-CN"/>
        </w:rPr>
        <w:t>最大化设立</w:t>
      </w:r>
      <w:r>
        <w:rPr>
          <w:rFonts w:hint="eastAsia" w:ascii="仿宋_GB2312" w:hAnsi="宋体" w:eastAsia="仿宋_GB2312"/>
          <w:b w:val="0"/>
          <w:bCs w:val="0"/>
          <w:sz w:val="32"/>
          <w:szCs w:val="32"/>
        </w:rPr>
        <w:t>核酸采样点</w:t>
      </w:r>
      <w:r>
        <w:rPr>
          <w:rFonts w:hint="eastAsia" w:ascii="仿宋_GB2312" w:hAnsi="宋体" w:eastAsia="仿宋_GB2312"/>
          <w:b w:val="0"/>
          <w:bCs w:val="0"/>
          <w:sz w:val="32"/>
          <w:szCs w:val="32"/>
          <w:lang w:val="en-US" w:eastAsia="zh-CN"/>
        </w:rPr>
        <w:t>1401</w:t>
      </w:r>
      <w:r>
        <w:rPr>
          <w:rFonts w:ascii="仿宋_GB2312" w:hAnsi="宋体" w:eastAsia="仿宋_GB2312"/>
          <w:b w:val="0"/>
          <w:bCs w:val="0"/>
          <w:sz w:val="32"/>
          <w:szCs w:val="32"/>
        </w:rPr>
        <w:t>个，</w:t>
      </w:r>
      <w:r>
        <w:rPr>
          <w:rFonts w:hint="eastAsia" w:ascii="仿宋_GB2312" w:hAnsi="宋体" w:eastAsia="仿宋_GB2312"/>
          <w:b w:val="0"/>
          <w:bCs w:val="0"/>
          <w:sz w:val="32"/>
          <w:szCs w:val="32"/>
          <w:lang w:eastAsia="zh-CN"/>
        </w:rPr>
        <w:t>最高</w:t>
      </w:r>
      <w:r>
        <w:rPr>
          <w:rFonts w:hint="eastAsia" w:ascii="仿宋_GB2312" w:hAnsi="宋体" w:eastAsia="仿宋_GB2312"/>
          <w:b w:val="0"/>
          <w:bCs w:val="0"/>
          <w:sz w:val="32"/>
          <w:szCs w:val="32"/>
        </w:rPr>
        <w:t>日</w:t>
      </w:r>
      <w:r>
        <w:rPr>
          <w:rFonts w:ascii="仿宋_GB2312" w:hAnsi="宋体" w:eastAsia="仿宋_GB2312"/>
          <w:b w:val="0"/>
          <w:bCs w:val="0"/>
          <w:sz w:val="32"/>
          <w:szCs w:val="32"/>
        </w:rPr>
        <w:t>核酸检测能力</w:t>
      </w:r>
      <w:r>
        <w:rPr>
          <w:rFonts w:hint="eastAsia" w:ascii="仿宋_GB2312" w:hAnsi="宋体" w:eastAsia="仿宋_GB2312"/>
          <w:b w:val="0"/>
          <w:bCs w:val="0"/>
          <w:sz w:val="32"/>
          <w:szCs w:val="32"/>
          <w:lang w:eastAsia="zh-CN"/>
        </w:rPr>
        <w:t>达</w:t>
      </w:r>
      <w:r>
        <w:rPr>
          <w:rFonts w:ascii="仿宋_GB2312" w:hAnsi="宋体" w:eastAsia="仿宋_GB2312"/>
          <w:b w:val="0"/>
          <w:bCs w:val="0"/>
          <w:sz w:val="32"/>
          <w:szCs w:val="32"/>
        </w:rPr>
        <w:t>73.18万管</w:t>
      </w:r>
      <w:r>
        <w:rPr>
          <w:rFonts w:hint="eastAsia" w:ascii="仿宋_GB2312" w:hAnsi="宋体" w:eastAsia="仿宋_GB2312"/>
          <w:b w:val="0"/>
          <w:bCs w:val="0"/>
          <w:sz w:val="32"/>
          <w:szCs w:val="32"/>
        </w:rPr>
        <w:t>，对第三方核酸检测实验室进行驻点式监督检查和飞行检查。</w:t>
      </w:r>
      <w:r>
        <w:rPr>
          <w:rFonts w:hint="eastAsia" w:ascii="仿宋_GB2312" w:hAnsi="宋体" w:eastAsia="仿宋_GB2312"/>
          <w:b w:val="0"/>
          <w:bCs w:val="0"/>
          <w:sz w:val="32"/>
          <w:szCs w:val="32"/>
          <w:lang w:val="en-US" w:eastAsia="zh-CN"/>
        </w:rPr>
        <w:t>加强药品组织调度，全力保障群众用药需求。持续提升医院重症救治服务能力，确保120转运急危重症患者应收尽收。</w:t>
      </w:r>
      <w:r>
        <w:rPr>
          <w:rFonts w:hint="eastAsia" w:ascii="仿宋_GB2312" w:hAnsi="宋体" w:eastAsia="仿宋_GB2312"/>
          <w:b w:val="0"/>
          <w:bCs w:val="0"/>
          <w:sz w:val="32"/>
          <w:szCs w:val="32"/>
        </w:rPr>
        <w:t>建立覆盖所有街镇、满足不同需求的疫苗接种点体系，</w:t>
      </w:r>
      <w:r>
        <w:rPr>
          <w:rFonts w:hint="eastAsia" w:ascii="仿宋_GB2312" w:hAnsi="宋体" w:eastAsia="仿宋_GB2312"/>
          <w:b w:val="0"/>
          <w:bCs w:val="0"/>
          <w:sz w:val="32"/>
          <w:szCs w:val="32"/>
          <w:lang w:eastAsia="zh-CN"/>
        </w:rPr>
        <w:t>全年</w:t>
      </w:r>
      <w:r>
        <w:rPr>
          <w:rFonts w:hint="eastAsia" w:ascii="仿宋_GB2312" w:hAnsi="宋体" w:eastAsia="仿宋_GB2312"/>
          <w:b w:val="0"/>
          <w:bCs w:val="0"/>
          <w:sz w:val="32"/>
          <w:szCs w:val="32"/>
        </w:rPr>
        <w:t>完成新冠疫苗接种</w:t>
      </w:r>
      <w:r>
        <w:rPr>
          <w:rFonts w:hint="eastAsia" w:ascii="仿宋_GB2312" w:hAnsi="宋体" w:eastAsia="仿宋_GB2312"/>
          <w:b w:val="0"/>
          <w:bCs w:val="0"/>
          <w:sz w:val="32"/>
          <w:szCs w:val="32"/>
          <w:lang w:val="en-US" w:eastAsia="zh-CN"/>
        </w:rPr>
        <w:t>109.9</w:t>
      </w:r>
      <w:r>
        <w:rPr>
          <w:rFonts w:hint="eastAsia" w:ascii="仿宋_GB2312" w:hAnsi="宋体" w:eastAsia="仿宋_GB2312"/>
          <w:b w:val="0"/>
          <w:bCs w:val="0"/>
          <w:sz w:val="32"/>
          <w:szCs w:val="32"/>
        </w:rPr>
        <w:t>万剂。</w:t>
      </w:r>
    </w:p>
    <w:p w14:paraId="707C98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 w:val="0"/>
          <w:bCs w:val="0"/>
          <w:sz w:val="32"/>
          <w:szCs w:val="32"/>
        </w:rPr>
      </w:pPr>
      <w:r>
        <w:rPr>
          <w:rFonts w:hint="eastAsia" w:ascii="仿宋_GB2312" w:eastAsia="仿宋_GB2312"/>
          <w:b w:val="0"/>
          <w:bCs w:val="0"/>
          <w:sz w:val="32"/>
          <w:szCs w:val="32"/>
        </w:rPr>
        <w:t>助企纾困落实落细。</w:t>
      </w:r>
      <w:r>
        <w:rPr>
          <w:rFonts w:hint="eastAsia" w:ascii="仿宋_GB2312" w:hAnsi="仿宋" w:eastAsia="仿宋_GB2312"/>
          <w:b w:val="0"/>
          <w:bCs w:val="0"/>
          <w:sz w:val="32"/>
          <w:szCs w:val="32"/>
        </w:rPr>
        <w:t>实施最大力度企业帮扶，顶格落实好中央和市级稳经济一揽子措施</w:t>
      </w:r>
      <w:r>
        <w:rPr>
          <w:rFonts w:hint="eastAsia" w:ascii="仿宋_GB2312" w:hAnsi="仿宋" w:eastAsia="仿宋_GB2312"/>
          <w:b w:val="0"/>
          <w:bCs w:val="0"/>
          <w:sz w:val="32"/>
          <w:szCs w:val="32"/>
          <w:lang w:eastAsia="zh-CN"/>
        </w:rPr>
        <w:t>、“京</w:t>
      </w:r>
      <w:r>
        <w:rPr>
          <w:rFonts w:hint="eastAsia" w:ascii="仿宋_GB2312" w:hAnsi="仿宋" w:eastAsia="仿宋_GB2312"/>
          <w:b w:val="0"/>
          <w:bCs w:val="0"/>
          <w:sz w:val="32"/>
          <w:szCs w:val="32"/>
          <w:lang w:val="en-US" w:eastAsia="zh-CN"/>
        </w:rPr>
        <w:t>12条”等稳增长政策</w:t>
      </w:r>
      <w:r>
        <w:rPr>
          <w:rFonts w:hint="eastAsia" w:ascii="仿宋_GB2312" w:hAnsi="仿宋" w:eastAsia="仿宋_GB2312"/>
          <w:b w:val="0"/>
          <w:bCs w:val="0"/>
          <w:sz w:val="32"/>
          <w:szCs w:val="32"/>
        </w:rPr>
        <w:t>，</w:t>
      </w:r>
      <w:r>
        <w:rPr>
          <w:rFonts w:hint="eastAsia" w:ascii="仿宋_GB2312" w:hAnsi="仿宋" w:eastAsia="仿宋_GB2312"/>
          <w:b w:val="0"/>
          <w:bCs w:val="0"/>
          <w:sz w:val="32"/>
          <w:szCs w:val="32"/>
          <w:lang w:eastAsia="zh-CN"/>
        </w:rPr>
        <w:t>抢先</w:t>
      </w:r>
      <w:r>
        <w:rPr>
          <w:rFonts w:hint="eastAsia" w:ascii="仿宋_GB2312" w:hAnsi="仿宋" w:eastAsia="仿宋_GB2312"/>
          <w:b w:val="0"/>
          <w:bCs w:val="0"/>
          <w:sz w:val="32"/>
          <w:szCs w:val="32"/>
        </w:rPr>
        <w:t>出台</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中小微</w:t>
      </w:r>
      <w:r>
        <w:rPr>
          <w:rFonts w:ascii="仿宋_GB2312" w:hAnsi="仿宋" w:eastAsia="仿宋_GB2312"/>
          <w:b w:val="0"/>
          <w:bCs w:val="0"/>
          <w:sz w:val="32"/>
          <w:szCs w:val="32"/>
        </w:rPr>
        <w:t>22条</w:t>
      </w:r>
      <w:r>
        <w:rPr>
          <w:rFonts w:hint="eastAsia" w:ascii="仿宋_GB2312" w:hAnsi="仿宋" w:eastAsia="仿宋_GB2312"/>
          <w:b w:val="0"/>
          <w:bCs w:val="0"/>
          <w:sz w:val="32"/>
          <w:szCs w:val="32"/>
          <w:lang w:eastAsia="zh-CN"/>
        </w:rPr>
        <w:t>”“稳</w:t>
      </w:r>
      <w:r>
        <w:rPr>
          <w:rFonts w:ascii="仿宋_GB2312" w:hAnsi="仿宋" w:eastAsia="仿宋_GB2312"/>
          <w:b w:val="0"/>
          <w:bCs w:val="0"/>
          <w:sz w:val="32"/>
          <w:szCs w:val="32"/>
        </w:rPr>
        <w:t>增长31条</w:t>
      </w:r>
      <w:r>
        <w:rPr>
          <w:rFonts w:hint="eastAsia" w:ascii="仿宋_GB2312" w:hAnsi="仿宋" w:eastAsia="仿宋_GB2312"/>
          <w:b w:val="0"/>
          <w:bCs w:val="0"/>
          <w:sz w:val="32"/>
          <w:szCs w:val="32"/>
          <w:lang w:eastAsia="zh-CN"/>
        </w:rPr>
        <w:t>”</w:t>
      </w:r>
      <w:r>
        <w:rPr>
          <w:rFonts w:ascii="仿宋_GB2312" w:hAnsi="仿宋" w:eastAsia="仿宋_GB2312"/>
          <w:b w:val="0"/>
          <w:bCs w:val="0"/>
          <w:sz w:val="32"/>
          <w:szCs w:val="32"/>
        </w:rPr>
        <w:t>等区级政策</w:t>
      </w:r>
      <w:r>
        <w:rPr>
          <w:rFonts w:hint="eastAsia" w:ascii="仿宋_GB2312" w:hAnsi="仿宋" w:eastAsia="仿宋_GB2312"/>
          <w:b w:val="0"/>
          <w:bCs w:val="0"/>
          <w:sz w:val="32"/>
          <w:szCs w:val="32"/>
          <w:lang w:eastAsia="zh-CN"/>
        </w:rPr>
        <w:t>，全区</w:t>
      </w:r>
      <w:r>
        <w:rPr>
          <w:rFonts w:hint="eastAsia" w:ascii="仿宋_GB2312" w:hAnsi="Courier New" w:eastAsia="仿宋_GB2312"/>
          <w:b w:val="0"/>
          <w:bCs w:val="0"/>
          <w:snapToGrid w:val="0"/>
          <w:sz w:val="32"/>
          <w:szCs w:val="32"/>
        </w:rPr>
        <w:t>1.</w:t>
      </w:r>
      <w:r>
        <w:rPr>
          <w:rFonts w:hint="eastAsia" w:ascii="仿宋_GB2312" w:hAnsi="Courier New" w:eastAsia="仿宋_GB2312"/>
          <w:b w:val="0"/>
          <w:bCs w:val="0"/>
          <w:snapToGrid w:val="0"/>
          <w:sz w:val="32"/>
          <w:szCs w:val="32"/>
          <w:lang w:val="en-US" w:eastAsia="zh-CN"/>
        </w:rPr>
        <w:t>28</w:t>
      </w:r>
      <w:r>
        <w:rPr>
          <w:rFonts w:hint="eastAsia" w:ascii="仿宋_GB2312" w:hAnsi="Courier New" w:eastAsia="仿宋_GB2312"/>
          <w:b w:val="0"/>
          <w:bCs w:val="0"/>
          <w:snapToGrid w:val="0"/>
          <w:sz w:val="32"/>
          <w:szCs w:val="32"/>
        </w:rPr>
        <w:t>万户中小微企业及个体工商户</w:t>
      </w:r>
      <w:r>
        <w:rPr>
          <w:rFonts w:hint="eastAsia" w:ascii="仿宋_GB2312" w:hAnsi="Courier New" w:eastAsia="仿宋_GB2312"/>
          <w:b w:val="0"/>
          <w:bCs w:val="0"/>
          <w:snapToGrid w:val="0"/>
          <w:sz w:val="32"/>
          <w:szCs w:val="32"/>
          <w:lang w:eastAsia="zh-CN"/>
        </w:rPr>
        <w:t>享受</w:t>
      </w:r>
      <w:r>
        <w:rPr>
          <w:rFonts w:hint="eastAsia" w:ascii="仿宋_GB2312" w:hAnsi="Courier New" w:eastAsia="仿宋_GB2312"/>
          <w:b w:val="0"/>
          <w:bCs w:val="0"/>
          <w:snapToGrid w:val="0"/>
          <w:sz w:val="32"/>
          <w:szCs w:val="32"/>
        </w:rPr>
        <w:t>增值税留抵退税16</w:t>
      </w:r>
      <w:r>
        <w:rPr>
          <w:rFonts w:hint="eastAsia" w:ascii="仿宋_GB2312" w:hAnsi="Courier New" w:eastAsia="仿宋_GB2312"/>
          <w:b w:val="0"/>
          <w:bCs w:val="0"/>
          <w:snapToGrid w:val="0"/>
          <w:sz w:val="32"/>
          <w:szCs w:val="32"/>
          <w:lang w:val="en-US" w:eastAsia="zh-CN"/>
        </w:rPr>
        <w:t>4.9</w:t>
      </w:r>
      <w:r>
        <w:rPr>
          <w:rFonts w:hint="eastAsia" w:ascii="仿宋_GB2312" w:hAnsi="Courier New" w:eastAsia="仿宋_GB2312"/>
          <w:b w:val="0"/>
          <w:bCs w:val="0"/>
          <w:snapToGrid w:val="0"/>
          <w:sz w:val="32"/>
          <w:szCs w:val="32"/>
        </w:rPr>
        <w:t>亿元，15.</w:t>
      </w:r>
      <w:r>
        <w:rPr>
          <w:rFonts w:hint="eastAsia" w:ascii="仿宋_GB2312" w:hAnsi="Courier New" w:eastAsia="仿宋_GB2312"/>
          <w:b w:val="0"/>
          <w:bCs w:val="0"/>
          <w:snapToGrid w:val="0"/>
          <w:sz w:val="32"/>
          <w:szCs w:val="32"/>
          <w:lang w:val="en-US" w:eastAsia="zh-CN"/>
        </w:rPr>
        <w:t>6</w:t>
      </w:r>
      <w:r>
        <w:rPr>
          <w:rFonts w:hint="eastAsia" w:ascii="仿宋_GB2312" w:hAnsi="Courier New" w:eastAsia="仿宋_GB2312"/>
          <w:b w:val="0"/>
          <w:bCs w:val="0"/>
          <w:snapToGrid w:val="0"/>
          <w:sz w:val="32"/>
          <w:szCs w:val="32"/>
        </w:rPr>
        <w:t>万户中小微企业及个体工商户享受“六税两费”减半优惠2</w:t>
      </w:r>
      <w:r>
        <w:rPr>
          <w:rFonts w:hint="eastAsia" w:ascii="仿宋_GB2312" w:hAnsi="Courier New" w:eastAsia="仿宋_GB2312"/>
          <w:b w:val="0"/>
          <w:bCs w:val="0"/>
          <w:snapToGrid w:val="0"/>
          <w:sz w:val="32"/>
          <w:szCs w:val="32"/>
          <w:lang w:val="en-US" w:eastAsia="zh-CN"/>
        </w:rPr>
        <w:t>3</w:t>
      </w:r>
      <w:r>
        <w:rPr>
          <w:rFonts w:hint="eastAsia" w:ascii="仿宋_GB2312" w:hAnsi="Courier New" w:eastAsia="仿宋_GB2312"/>
          <w:b w:val="0"/>
          <w:bCs w:val="0"/>
          <w:snapToGrid w:val="0"/>
          <w:sz w:val="32"/>
          <w:szCs w:val="32"/>
        </w:rPr>
        <w:t>.</w:t>
      </w:r>
      <w:r>
        <w:rPr>
          <w:rFonts w:hint="eastAsia" w:ascii="仿宋_GB2312" w:hAnsi="Courier New" w:eastAsia="仿宋_GB2312"/>
          <w:b w:val="0"/>
          <w:bCs w:val="0"/>
          <w:snapToGrid w:val="0"/>
          <w:sz w:val="32"/>
          <w:szCs w:val="32"/>
          <w:lang w:val="en-US" w:eastAsia="zh-CN"/>
        </w:rPr>
        <w:t>2</w:t>
      </w:r>
      <w:r>
        <w:rPr>
          <w:rFonts w:hint="eastAsia" w:ascii="仿宋_GB2312" w:hAnsi="Courier New" w:eastAsia="仿宋_GB2312"/>
          <w:b w:val="0"/>
          <w:bCs w:val="0"/>
          <w:snapToGrid w:val="0"/>
          <w:sz w:val="32"/>
          <w:szCs w:val="32"/>
        </w:rPr>
        <w:t>亿元，</w:t>
      </w:r>
      <w:r>
        <w:rPr>
          <w:rFonts w:hint="eastAsia" w:ascii="仿宋_GB2312" w:hAnsi="仿宋_GB2312" w:eastAsia="仿宋_GB2312" w:cs="仿宋_GB2312"/>
          <w:b w:val="0"/>
          <w:bCs w:val="0"/>
          <w:sz w:val="32"/>
          <w:szCs w:val="32"/>
          <w:highlight w:val="none"/>
          <w:lang w:val="en-US" w:eastAsia="zh-CN"/>
        </w:rPr>
        <w:t>7120</w:t>
      </w:r>
      <w:r>
        <w:rPr>
          <w:rFonts w:ascii="仿宋_GB2312" w:hAnsi="仿宋" w:eastAsia="仿宋_GB2312"/>
          <w:b w:val="0"/>
          <w:bCs w:val="0"/>
          <w:sz w:val="32"/>
          <w:szCs w:val="32"/>
        </w:rPr>
        <w:t>家</w:t>
      </w:r>
      <w:r>
        <w:rPr>
          <w:rFonts w:hint="eastAsia" w:ascii="仿宋_GB2312" w:hAnsi="仿宋_GB2312" w:eastAsia="仿宋_GB2312" w:cs="仿宋_GB2312"/>
          <w:b w:val="0"/>
          <w:bCs w:val="0"/>
          <w:sz w:val="32"/>
          <w:szCs w:val="32"/>
        </w:rPr>
        <w:t>企业</w:t>
      </w:r>
      <w:r>
        <w:rPr>
          <w:rFonts w:hint="eastAsia" w:ascii="仿宋_GB2312" w:hAnsi="仿宋_GB2312" w:eastAsia="仿宋_GB2312" w:cs="仿宋_GB2312"/>
          <w:b w:val="0"/>
          <w:bCs w:val="0"/>
          <w:sz w:val="32"/>
          <w:szCs w:val="32"/>
          <w:lang w:eastAsia="zh-CN"/>
        </w:rPr>
        <w:t>获得</w:t>
      </w:r>
      <w:r>
        <w:rPr>
          <w:rFonts w:hint="eastAsia" w:ascii="仿宋_GB2312" w:hAnsi="仿宋_GB2312" w:eastAsia="仿宋_GB2312" w:cs="仿宋_GB2312"/>
          <w:b w:val="0"/>
          <w:bCs w:val="0"/>
          <w:sz w:val="32"/>
          <w:szCs w:val="32"/>
        </w:rPr>
        <w:t>房租</w:t>
      </w:r>
      <w:r>
        <w:rPr>
          <w:rFonts w:hint="eastAsia" w:ascii="仿宋_GB2312" w:hAnsi="仿宋_GB2312" w:eastAsia="仿宋_GB2312" w:cs="仿宋_GB2312"/>
          <w:b w:val="0"/>
          <w:bCs w:val="0"/>
          <w:sz w:val="32"/>
          <w:szCs w:val="32"/>
          <w:lang w:eastAsia="zh-CN"/>
        </w:rPr>
        <w:t>减免</w:t>
      </w:r>
      <w:r>
        <w:rPr>
          <w:rFonts w:hint="eastAsia" w:ascii="仿宋_GB2312" w:hAnsi="仿宋_GB2312" w:eastAsia="仿宋_GB2312" w:cs="仿宋_GB2312"/>
          <w:b w:val="0"/>
          <w:bCs w:val="0"/>
          <w:sz w:val="32"/>
          <w:szCs w:val="32"/>
          <w:highlight w:val="none"/>
          <w:lang w:val="en-US" w:eastAsia="zh-CN"/>
        </w:rPr>
        <w:t>12.8</w:t>
      </w:r>
      <w:r>
        <w:rPr>
          <w:rFonts w:hint="eastAsia" w:ascii="仿宋_GB2312" w:hAnsi="仿宋_GB2312" w:eastAsia="仿宋_GB2312" w:cs="仿宋_GB2312"/>
          <w:b w:val="0"/>
          <w:bCs w:val="0"/>
          <w:sz w:val="32"/>
          <w:szCs w:val="32"/>
        </w:rPr>
        <w:t>亿元，续贷中心发放</w:t>
      </w:r>
      <w:r>
        <w:rPr>
          <w:rFonts w:hint="eastAsia" w:ascii="仿宋_GB2312" w:eastAsia="仿宋_GB2312"/>
          <w:b w:val="0"/>
          <w:bCs w:val="0"/>
          <w:sz w:val="32"/>
          <w:szCs w:val="32"/>
        </w:rPr>
        <w:t>1.4万余笔、404.8亿元首贷、续贷贷款，财金协同平台</w:t>
      </w:r>
      <w:r>
        <w:rPr>
          <w:rFonts w:hint="eastAsia" w:ascii="仿宋_GB2312" w:hAnsi="仿宋_GB2312" w:eastAsia="仿宋_GB2312" w:cs="仿宋_GB2312"/>
          <w:b w:val="0"/>
          <w:bCs w:val="0"/>
          <w:sz w:val="32"/>
          <w:szCs w:val="32"/>
        </w:rPr>
        <w:t>发放</w:t>
      </w:r>
      <w:r>
        <w:rPr>
          <w:rFonts w:hint="eastAsia" w:ascii="仿宋_GB2312" w:hAnsi="仿宋_GB2312" w:eastAsia="仿宋_GB2312" w:cs="仿宋_GB2312"/>
          <w:b w:val="0"/>
          <w:bCs w:val="0"/>
          <w:sz w:val="32"/>
          <w:szCs w:val="32"/>
          <w:lang w:val="en-US" w:eastAsia="zh-CN"/>
        </w:rPr>
        <w:t>801</w:t>
      </w:r>
      <w:r>
        <w:rPr>
          <w:rFonts w:hint="eastAsia" w:ascii="仿宋_GB2312" w:hAnsi="仿宋_GB2312" w:eastAsia="仿宋_GB2312" w:cs="仿宋_GB2312"/>
          <w:b w:val="0"/>
          <w:bCs w:val="0"/>
          <w:sz w:val="32"/>
          <w:szCs w:val="32"/>
        </w:rPr>
        <w:t>笔、</w:t>
      </w:r>
      <w:r>
        <w:rPr>
          <w:rFonts w:hint="eastAsia" w:ascii="仿宋_GB2312" w:hAnsi="仿宋_GB2312" w:eastAsia="仿宋_GB2312" w:cs="仿宋_GB2312"/>
          <w:b w:val="0"/>
          <w:bCs w:val="0"/>
          <w:sz w:val="32"/>
          <w:szCs w:val="32"/>
          <w:lang w:val="en-US" w:eastAsia="zh-CN"/>
        </w:rPr>
        <w:t>34.64</w:t>
      </w:r>
      <w:r>
        <w:rPr>
          <w:rFonts w:hint="eastAsia" w:ascii="仿宋_GB2312" w:hAnsi="仿宋_GB2312" w:eastAsia="仿宋_GB2312" w:cs="仿宋_GB2312"/>
          <w:b w:val="0"/>
          <w:bCs w:val="0"/>
          <w:sz w:val="32"/>
          <w:szCs w:val="32"/>
        </w:rPr>
        <w:t>亿元贴息贷款</w:t>
      </w:r>
      <w:r>
        <w:rPr>
          <w:rFonts w:hint="eastAsia" w:ascii="仿宋_GB2312" w:hAnsi="Courier New" w:eastAsia="仿宋_GB2312"/>
          <w:b w:val="0"/>
          <w:bCs w:val="0"/>
          <w:snapToGrid w:val="0"/>
          <w:sz w:val="32"/>
          <w:szCs w:val="32"/>
          <w:lang w:eastAsia="zh-CN"/>
        </w:rPr>
        <w:t>，</w:t>
      </w:r>
      <w:r>
        <w:rPr>
          <w:rFonts w:ascii="仿宋_GB2312" w:hAnsi="仿宋" w:eastAsia="仿宋_GB2312"/>
          <w:b w:val="0"/>
          <w:bCs w:val="0"/>
          <w:sz w:val="32"/>
          <w:szCs w:val="32"/>
        </w:rPr>
        <w:t>缓缴</w:t>
      </w:r>
      <w:r>
        <w:rPr>
          <w:rFonts w:hint="eastAsia" w:ascii="仿宋_GB2312" w:hAnsi="仿宋" w:eastAsia="仿宋_GB2312"/>
          <w:b w:val="0"/>
          <w:bCs w:val="0"/>
          <w:sz w:val="32"/>
          <w:szCs w:val="32"/>
        </w:rPr>
        <w:t>近7</w:t>
      </w:r>
      <w:r>
        <w:rPr>
          <w:rFonts w:ascii="仿宋_GB2312" w:hAnsi="仿宋" w:eastAsia="仿宋_GB2312"/>
          <w:b w:val="0"/>
          <w:bCs w:val="0"/>
          <w:sz w:val="32"/>
          <w:szCs w:val="32"/>
        </w:rPr>
        <w:t>000</w:t>
      </w:r>
      <w:r>
        <w:rPr>
          <w:rFonts w:hint="eastAsia" w:ascii="仿宋_GB2312" w:hAnsi="仿宋" w:eastAsia="仿宋_GB2312"/>
          <w:b w:val="0"/>
          <w:bCs w:val="0"/>
          <w:sz w:val="32"/>
          <w:szCs w:val="32"/>
        </w:rPr>
        <w:t>家企业、2</w:t>
      </w:r>
      <w:r>
        <w:rPr>
          <w:rFonts w:ascii="仿宋_GB2312" w:hAnsi="仿宋" w:eastAsia="仿宋_GB2312"/>
          <w:b w:val="0"/>
          <w:bCs w:val="0"/>
          <w:sz w:val="32"/>
          <w:szCs w:val="32"/>
        </w:rPr>
        <w:t>0</w:t>
      </w:r>
      <w:r>
        <w:rPr>
          <w:rFonts w:hint="eastAsia" w:ascii="仿宋_GB2312" w:hAnsi="仿宋" w:eastAsia="仿宋_GB2312"/>
          <w:b w:val="0"/>
          <w:bCs w:val="0"/>
          <w:sz w:val="32"/>
          <w:szCs w:val="32"/>
        </w:rPr>
        <w:t>万名职工</w:t>
      </w:r>
      <w:r>
        <w:rPr>
          <w:rFonts w:ascii="仿宋_GB2312" w:hAnsi="仿宋" w:eastAsia="仿宋_GB2312"/>
          <w:b w:val="0"/>
          <w:bCs w:val="0"/>
          <w:sz w:val="32"/>
          <w:szCs w:val="32"/>
        </w:rPr>
        <w:t>社会保险费28.8亿元</w:t>
      </w:r>
      <w:r>
        <w:rPr>
          <w:rFonts w:hint="eastAsia" w:ascii="仿宋_GB2312" w:hAnsi="Courier New" w:eastAsia="仿宋_GB2312"/>
          <w:b w:val="0"/>
          <w:bCs w:val="0"/>
          <w:snapToGrid w:val="0"/>
          <w:sz w:val="32"/>
          <w:szCs w:val="32"/>
        </w:rPr>
        <w:t>。</w:t>
      </w:r>
      <w:r>
        <w:rPr>
          <w:rFonts w:hint="eastAsia" w:ascii="仿宋_GB2312" w:eastAsia="仿宋_GB2312"/>
          <w:b w:val="0"/>
          <w:bCs w:val="0"/>
          <w:sz w:val="32"/>
          <w:szCs w:val="32"/>
        </w:rPr>
        <w:t>实施歇业备案制度，为经营困难企业调整状态提供缓冲期。</w:t>
      </w:r>
      <w:r>
        <w:rPr>
          <w:rFonts w:ascii="仿宋_GB2312" w:hAnsi="仿宋" w:eastAsia="仿宋_GB2312"/>
          <w:b w:val="0"/>
          <w:bCs w:val="0"/>
          <w:sz w:val="32"/>
          <w:szCs w:val="32"/>
        </w:rPr>
        <w:t>四套班子领导带队开展企业大走访，</w:t>
      </w:r>
      <w:r>
        <w:rPr>
          <w:rFonts w:hint="eastAsia" w:ascii="仿宋_GB2312" w:hAnsi="仿宋" w:eastAsia="仿宋_GB2312"/>
          <w:b w:val="0"/>
          <w:bCs w:val="0"/>
          <w:sz w:val="32"/>
          <w:szCs w:val="32"/>
        </w:rPr>
        <w:t>办结企业产业链协同、人员商务出行等各类诉求3156</w:t>
      </w:r>
      <w:r>
        <w:rPr>
          <w:rFonts w:ascii="仿宋_GB2312" w:hAnsi="仿宋" w:eastAsia="仿宋_GB2312"/>
          <w:b w:val="0"/>
          <w:bCs w:val="0"/>
          <w:sz w:val="32"/>
          <w:szCs w:val="32"/>
        </w:rPr>
        <w:t>项</w:t>
      </w:r>
      <w:r>
        <w:rPr>
          <w:rFonts w:hint="eastAsia" w:ascii="仿宋_GB2312" w:hAnsi="仿宋" w:eastAsia="仿宋_GB2312"/>
          <w:b w:val="0"/>
          <w:bCs w:val="0"/>
          <w:sz w:val="32"/>
          <w:szCs w:val="32"/>
          <w:lang w:eastAsia="zh-CN"/>
        </w:rPr>
        <w:t>，为企业排忧解难</w:t>
      </w:r>
      <w:r>
        <w:rPr>
          <w:rFonts w:hint="eastAsia" w:ascii="仿宋_GB2312" w:hAnsi="仿宋" w:eastAsia="仿宋_GB2312"/>
          <w:b w:val="0"/>
          <w:bCs w:val="0"/>
          <w:sz w:val="32"/>
          <w:szCs w:val="32"/>
        </w:rPr>
        <w:t>。</w:t>
      </w:r>
    </w:p>
    <w:p w14:paraId="7F061A1F">
      <w:pPr>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专栏1：海淀区稳增长“31条”实施效果</w:t>
      </w:r>
    </w:p>
    <w:tbl>
      <w:tblPr>
        <w:tblStyle w:val="20"/>
        <w:tblW w:w="94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2748"/>
        <w:gridCol w:w="5637"/>
      </w:tblGrid>
      <w:tr w14:paraId="11F46DB8">
        <w:trPr>
          <w:trHeight w:val="425" w:hRule="atLeast"/>
          <w:tblHeader/>
          <w:jc w:val="center"/>
        </w:trPr>
        <w:tc>
          <w:tcPr>
            <w:tcW w:w="1072" w:type="dxa"/>
            <w:tcMar>
              <w:top w:w="0" w:type="dxa"/>
              <w:left w:w="57" w:type="dxa"/>
              <w:bottom w:w="0" w:type="dxa"/>
              <w:right w:w="57" w:type="dxa"/>
            </w:tcMar>
            <w:vAlign w:val="center"/>
          </w:tcPr>
          <w:p w14:paraId="5E244EA4">
            <w:pPr>
              <w:jc w:val="center"/>
              <w:rPr>
                <w:rFonts w:hint="eastAsia" w:ascii="黑体" w:hAnsi="黑体" w:eastAsia="黑体" w:cs="黑体"/>
                <w:b w:val="0"/>
                <w:bCs w:val="0"/>
                <w:sz w:val="22"/>
              </w:rPr>
            </w:pPr>
            <w:r>
              <w:rPr>
                <w:rFonts w:hint="eastAsia" w:ascii="黑体" w:hAnsi="黑体" w:eastAsia="黑体" w:cs="黑体"/>
                <w:b w:val="0"/>
                <w:bCs w:val="0"/>
                <w:sz w:val="22"/>
              </w:rPr>
              <w:t>领域</w:t>
            </w:r>
          </w:p>
        </w:tc>
        <w:tc>
          <w:tcPr>
            <w:tcW w:w="2748" w:type="dxa"/>
            <w:tcMar>
              <w:top w:w="0" w:type="dxa"/>
              <w:left w:w="57" w:type="dxa"/>
              <w:bottom w:w="0" w:type="dxa"/>
              <w:right w:w="57" w:type="dxa"/>
            </w:tcMar>
            <w:vAlign w:val="center"/>
          </w:tcPr>
          <w:p w14:paraId="004D28E9">
            <w:pPr>
              <w:jc w:val="center"/>
              <w:rPr>
                <w:rFonts w:hint="eastAsia" w:ascii="黑体" w:hAnsi="黑体" w:eastAsia="黑体" w:cs="黑体"/>
                <w:b w:val="0"/>
                <w:bCs w:val="0"/>
                <w:sz w:val="22"/>
              </w:rPr>
            </w:pPr>
            <w:r>
              <w:rPr>
                <w:rFonts w:hint="eastAsia" w:ascii="黑体" w:hAnsi="黑体" w:eastAsia="黑体" w:cs="黑体"/>
                <w:b w:val="0"/>
                <w:bCs w:val="0"/>
                <w:sz w:val="22"/>
              </w:rPr>
              <w:t>区级政策文件</w:t>
            </w:r>
          </w:p>
        </w:tc>
        <w:tc>
          <w:tcPr>
            <w:tcW w:w="5637" w:type="dxa"/>
            <w:tcMar>
              <w:top w:w="0" w:type="dxa"/>
              <w:left w:w="57" w:type="dxa"/>
              <w:bottom w:w="0" w:type="dxa"/>
              <w:right w:w="57" w:type="dxa"/>
            </w:tcMar>
            <w:vAlign w:val="center"/>
          </w:tcPr>
          <w:p w14:paraId="1EC8D0DC">
            <w:pPr>
              <w:pStyle w:val="42"/>
              <w:adjustRightInd w:val="0"/>
              <w:snapToGrid w:val="0"/>
              <w:ind w:firstLine="0" w:firstLineChars="0"/>
              <w:jc w:val="center"/>
              <w:rPr>
                <w:rFonts w:hint="eastAsia" w:ascii="黑体" w:hAnsi="黑体" w:eastAsia="黑体" w:cs="黑体"/>
                <w:b w:val="0"/>
                <w:bCs w:val="0"/>
                <w:sz w:val="22"/>
              </w:rPr>
            </w:pPr>
            <w:r>
              <w:rPr>
                <w:rFonts w:hint="eastAsia" w:ascii="黑体" w:hAnsi="黑体" w:eastAsia="黑体" w:cs="黑体"/>
                <w:b w:val="0"/>
                <w:bCs w:val="0"/>
                <w:sz w:val="22"/>
              </w:rPr>
              <w:t>工作进展</w:t>
            </w:r>
          </w:p>
        </w:tc>
      </w:tr>
      <w:tr w14:paraId="01B1BDD4">
        <w:trPr>
          <w:trHeight w:val="567" w:hRule="atLeast"/>
          <w:jc w:val="center"/>
        </w:trPr>
        <w:tc>
          <w:tcPr>
            <w:tcW w:w="1072" w:type="dxa"/>
            <w:tcMar>
              <w:top w:w="0" w:type="dxa"/>
              <w:left w:w="57" w:type="dxa"/>
              <w:bottom w:w="0" w:type="dxa"/>
              <w:right w:w="57" w:type="dxa"/>
            </w:tcMar>
            <w:vAlign w:val="center"/>
          </w:tcPr>
          <w:p w14:paraId="64CDAEAF">
            <w:pPr>
              <w:jc w:val="center"/>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持续发力助企纾困</w:t>
            </w:r>
          </w:p>
        </w:tc>
        <w:tc>
          <w:tcPr>
            <w:tcW w:w="2748" w:type="dxa"/>
            <w:tcMar>
              <w:top w:w="0" w:type="dxa"/>
              <w:left w:w="57" w:type="dxa"/>
              <w:bottom w:w="0" w:type="dxa"/>
              <w:right w:w="57" w:type="dxa"/>
            </w:tcMar>
            <w:vAlign w:val="center"/>
          </w:tcPr>
          <w:p w14:paraId="7ADC8DFE">
            <w:pPr>
              <w:pStyle w:val="42"/>
              <w:numPr>
                <w:ilvl w:val="0"/>
                <w:numId w:val="1"/>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2022年海淀区非国有（集体）商务楼宇的运营主体房租减免补贴申报指南</w:t>
            </w:r>
          </w:p>
          <w:p w14:paraId="5A64FEFC">
            <w:pPr>
              <w:pStyle w:val="42"/>
              <w:numPr>
                <w:ilvl w:val="0"/>
                <w:numId w:val="1"/>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2022年海淀区非国有（集体）商务楼宇的运营主体房租减免补贴申报指南</w:t>
            </w:r>
          </w:p>
          <w:p w14:paraId="07755C4A">
            <w:pPr>
              <w:pStyle w:val="42"/>
              <w:numPr>
                <w:ilvl w:val="0"/>
                <w:numId w:val="1"/>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关于落实服务业小微企业及个体工商户承租区属行政事业单位房屋租金减免工作的通知</w:t>
            </w:r>
          </w:p>
          <w:p w14:paraId="62B125F6">
            <w:pPr>
              <w:pStyle w:val="42"/>
              <w:numPr>
                <w:ilvl w:val="0"/>
                <w:numId w:val="2"/>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关于印发财金协同助企专项行动补贴实施细则</w:t>
            </w:r>
          </w:p>
        </w:tc>
        <w:tc>
          <w:tcPr>
            <w:tcW w:w="5637" w:type="dxa"/>
            <w:tcMar>
              <w:top w:w="0" w:type="dxa"/>
              <w:left w:w="57" w:type="dxa"/>
              <w:bottom w:w="0" w:type="dxa"/>
              <w:right w:w="57" w:type="dxa"/>
            </w:tcMar>
            <w:vAlign w:val="center"/>
          </w:tcPr>
          <w:p w14:paraId="48FB88AD">
            <w:pPr>
              <w:pStyle w:val="42"/>
              <w:numPr>
                <w:ilvl w:val="0"/>
                <w:numId w:val="3"/>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减税降费：为12847户中小微企业及个体工商户增值税留抵退税16</w:t>
            </w:r>
            <w:r>
              <w:rPr>
                <w:rFonts w:hint="eastAsia" w:ascii="仿宋_GB2312" w:hAnsi="仿宋_GB2312" w:eastAsia="仿宋_GB2312" w:cs="仿宋_GB2312"/>
                <w:b w:val="0"/>
                <w:bCs w:val="0"/>
                <w:sz w:val="22"/>
                <w:lang w:val="en-US" w:eastAsia="zh-CN"/>
              </w:rPr>
              <w:t>4.9</w:t>
            </w:r>
            <w:r>
              <w:rPr>
                <w:rFonts w:hint="eastAsia" w:ascii="仿宋_GB2312" w:hAnsi="仿宋_GB2312" w:eastAsia="仿宋_GB2312" w:cs="仿宋_GB2312"/>
                <w:b w:val="0"/>
                <w:bCs w:val="0"/>
                <w:sz w:val="22"/>
              </w:rPr>
              <w:t>亿元，15</w:t>
            </w:r>
            <w:r>
              <w:rPr>
                <w:rFonts w:hint="eastAsia" w:ascii="仿宋_GB2312" w:hAnsi="仿宋_GB2312" w:eastAsia="仿宋_GB2312" w:cs="仿宋_GB2312"/>
                <w:b w:val="0"/>
                <w:bCs w:val="0"/>
                <w:sz w:val="22"/>
                <w:lang w:val="en-US" w:eastAsia="zh-CN"/>
              </w:rPr>
              <w:t>6471</w:t>
            </w:r>
            <w:r>
              <w:rPr>
                <w:rFonts w:hint="eastAsia" w:ascii="仿宋_GB2312" w:hAnsi="仿宋_GB2312" w:eastAsia="仿宋_GB2312" w:cs="仿宋_GB2312"/>
                <w:b w:val="0"/>
                <w:bCs w:val="0"/>
                <w:sz w:val="22"/>
              </w:rPr>
              <w:t>户中小微企业及个体工商户享受“六税两费”减半优惠2</w:t>
            </w:r>
            <w:r>
              <w:rPr>
                <w:rFonts w:hint="eastAsia" w:ascii="仿宋_GB2312" w:hAnsi="仿宋_GB2312" w:eastAsia="仿宋_GB2312" w:cs="仿宋_GB2312"/>
                <w:b w:val="0"/>
                <w:bCs w:val="0"/>
                <w:sz w:val="22"/>
                <w:lang w:val="en-US" w:eastAsia="zh-CN"/>
              </w:rPr>
              <w:t>3.183</w:t>
            </w:r>
            <w:r>
              <w:rPr>
                <w:rFonts w:hint="eastAsia" w:ascii="仿宋_GB2312" w:hAnsi="仿宋_GB2312" w:eastAsia="仿宋_GB2312" w:cs="仿宋_GB2312"/>
                <w:b w:val="0"/>
                <w:bCs w:val="0"/>
                <w:sz w:val="22"/>
              </w:rPr>
              <w:t>亿元。</w:t>
            </w:r>
          </w:p>
          <w:p w14:paraId="5A1E3E72">
            <w:pPr>
              <w:pStyle w:val="42"/>
              <w:numPr>
                <w:ilvl w:val="0"/>
                <w:numId w:val="3"/>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社保：为6</w:t>
            </w:r>
            <w:r>
              <w:rPr>
                <w:rFonts w:hint="eastAsia" w:ascii="仿宋_GB2312" w:hAnsi="仿宋_GB2312" w:eastAsia="仿宋_GB2312" w:cs="仿宋_GB2312"/>
                <w:b w:val="0"/>
                <w:bCs w:val="0"/>
                <w:sz w:val="22"/>
                <w:lang w:val="en-US" w:eastAsia="zh-CN"/>
              </w:rPr>
              <w:t>863</w:t>
            </w:r>
            <w:r>
              <w:rPr>
                <w:rFonts w:hint="eastAsia" w:ascii="仿宋_GB2312" w:hAnsi="仿宋_GB2312" w:eastAsia="仿宋_GB2312" w:cs="仿宋_GB2312"/>
                <w:b w:val="0"/>
                <w:bCs w:val="0"/>
                <w:sz w:val="22"/>
              </w:rPr>
              <w:t>家企业19.</w:t>
            </w:r>
            <w:r>
              <w:rPr>
                <w:rFonts w:hint="eastAsia" w:ascii="仿宋_GB2312" w:hAnsi="仿宋_GB2312" w:eastAsia="仿宋_GB2312" w:cs="仿宋_GB2312"/>
                <w:b w:val="0"/>
                <w:bCs w:val="0"/>
                <w:sz w:val="22"/>
                <w:lang w:val="en-US" w:eastAsia="zh-CN"/>
              </w:rPr>
              <w:t>72</w:t>
            </w:r>
            <w:r>
              <w:rPr>
                <w:rFonts w:hint="eastAsia" w:ascii="仿宋_GB2312" w:hAnsi="仿宋_GB2312" w:eastAsia="仿宋_GB2312" w:cs="仿宋_GB2312"/>
                <w:b w:val="0"/>
                <w:bCs w:val="0"/>
                <w:sz w:val="22"/>
              </w:rPr>
              <w:t>万名职工缓缴社保28.8</w:t>
            </w:r>
            <w:r>
              <w:rPr>
                <w:rFonts w:hint="eastAsia" w:ascii="仿宋_GB2312" w:hAnsi="仿宋_GB2312" w:eastAsia="仿宋_GB2312" w:cs="仿宋_GB2312"/>
                <w:b w:val="0"/>
                <w:bCs w:val="0"/>
                <w:sz w:val="22"/>
                <w:lang w:val="en-US" w:eastAsia="zh-CN"/>
              </w:rPr>
              <w:t>8</w:t>
            </w:r>
            <w:r>
              <w:rPr>
                <w:rFonts w:hint="eastAsia" w:ascii="仿宋_GB2312" w:hAnsi="仿宋_GB2312" w:eastAsia="仿宋_GB2312" w:cs="仿宋_GB2312"/>
                <w:b w:val="0"/>
                <w:bCs w:val="0"/>
                <w:sz w:val="22"/>
              </w:rPr>
              <w:t>亿元；为12万家参保单位减免失业保险费6.76亿元。</w:t>
            </w:r>
          </w:p>
          <w:p w14:paraId="781CCE06">
            <w:pPr>
              <w:pStyle w:val="42"/>
              <w:numPr>
                <w:ilvl w:val="0"/>
                <w:numId w:val="3"/>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房租减免：17家一级国有企业为3595家服务业小微企业和个体工商户减免租金累计7</w:t>
            </w:r>
            <w:r>
              <w:rPr>
                <w:rFonts w:hint="eastAsia" w:ascii="仿宋_GB2312" w:hAnsi="仿宋_GB2312" w:eastAsia="仿宋_GB2312" w:cs="仿宋_GB2312"/>
                <w:b w:val="0"/>
                <w:bCs w:val="0"/>
                <w:sz w:val="22"/>
                <w:lang w:val="en-US" w:eastAsia="zh-CN"/>
              </w:rPr>
              <w:t>5106.97</w:t>
            </w:r>
            <w:r>
              <w:rPr>
                <w:rFonts w:hint="eastAsia" w:ascii="仿宋_GB2312" w:hAnsi="仿宋_GB2312" w:eastAsia="仿宋_GB2312" w:cs="仿宋_GB2312"/>
                <w:b w:val="0"/>
                <w:bCs w:val="0"/>
                <w:sz w:val="22"/>
              </w:rPr>
              <w:t>万元；农村集体经济组织为28</w:t>
            </w:r>
            <w:r>
              <w:rPr>
                <w:rFonts w:hint="eastAsia" w:ascii="仿宋_GB2312" w:hAnsi="仿宋_GB2312" w:eastAsia="仿宋_GB2312" w:cs="仿宋_GB2312"/>
                <w:b w:val="0"/>
                <w:bCs w:val="0"/>
                <w:sz w:val="22"/>
                <w:lang w:val="en-US" w:eastAsia="zh-CN"/>
              </w:rPr>
              <w:t>10</w:t>
            </w:r>
            <w:r>
              <w:rPr>
                <w:rFonts w:hint="eastAsia" w:ascii="仿宋_GB2312" w:hAnsi="仿宋_GB2312" w:eastAsia="仿宋_GB2312" w:cs="仿宋_GB2312"/>
                <w:b w:val="0"/>
                <w:bCs w:val="0"/>
                <w:sz w:val="22"/>
              </w:rPr>
              <w:t>户中小微企业减免35</w:t>
            </w:r>
            <w:r>
              <w:rPr>
                <w:rFonts w:hint="eastAsia" w:ascii="仿宋_GB2312" w:hAnsi="仿宋_GB2312" w:eastAsia="仿宋_GB2312" w:cs="仿宋_GB2312"/>
                <w:b w:val="0"/>
                <w:bCs w:val="0"/>
                <w:sz w:val="22"/>
                <w:lang w:val="en-US" w:eastAsia="zh-CN"/>
              </w:rPr>
              <w:t>314.44</w:t>
            </w:r>
            <w:r>
              <w:rPr>
                <w:rFonts w:hint="eastAsia" w:ascii="仿宋_GB2312" w:hAnsi="仿宋_GB2312" w:eastAsia="仿宋_GB2312" w:cs="仿宋_GB2312"/>
                <w:b w:val="0"/>
                <w:bCs w:val="0"/>
                <w:sz w:val="22"/>
              </w:rPr>
              <w:t>万元；26家驻区央企为354家企业减免10159.2万元；79家非国有（集体）商务楼宇为335家企业减免6489万元；8家非国有（集体）孵化空间运营主体为26家中小微企业减免508万元。</w:t>
            </w:r>
          </w:p>
          <w:p w14:paraId="797C5423">
            <w:pPr>
              <w:pStyle w:val="42"/>
              <w:numPr>
                <w:ilvl w:val="0"/>
                <w:numId w:val="3"/>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财金协同平台发放</w:t>
            </w:r>
            <w:r>
              <w:rPr>
                <w:rFonts w:hint="eastAsia" w:ascii="仿宋_GB2312" w:hAnsi="仿宋_GB2312" w:eastAsia="仿宋_GB2312" w:cs="仿宋_GB2312"/>
                <w:b w:val="0"/>
                <w:bCs w:val="0"/>
                <w:sz w:val="22"/>
                <w:lang w:val="en-US" w:eastAsia="zh-CN"/>
              </w:rPr>
              <w:t>801</w:t>
            </w:r>
            <w:r>
              <w:rPr>
                <w:rFonts w:hint="eastAsia" w:ascii="仿宋_GB2312" w:hAnsi="仿宋_GB2312" w:eastAsia="仿宋_GB2312" w:cs="仿宋_GB2312"/>
                <w:b w:val="0"/>
                <w:bCs w:val="0"/>
                <w:sz w:val="22"/>
              </w:rPr>
              <w:t>笔</w:t>
            </w:r>
            <w:r>
              <w:rPr>
                <w:rFonts w:hint="eastAsia" w:ascii="仿宋_GB2312" w:hAnsi="仿宋_GB2312" w:eastAsia="仿宋_GB2312" w:cs="仿宋_GB2312"/>
                <w:b w:val="0"/>
                <w:bCs w:val="0"/>
                <w:sz w:val="22"/>
                <w:lang w:val="en-US" w:eastAsia="zh-CN"/>
              </w:rPr>
              <w:t>34.64</w:t>
            </w:r>
            <w:r>
              <w:rPr>
                <w:rFonts w:hint="eastAsia" w:ascii="仿宋_GB2312" w:hAnsi="仿宋_GB2312" w:eastAsia="仿宋_GB2312" w:cs="仿宋_GB2312"/>
                <w:b w:val="0"/>
                <w:bCs w:val="0"/>
                <w:sz w:val="22"/>
              </w:rPr>
              <w:t>亿元贴息贷款。</w:t>
            </w:r>
          </w:p>
        </w:tc>
      </w:tr>
      <w:tr w14:paraId="024E33B2">
        <w:trPr>
          <w:trHeight w:val="567" w:hRule="atLeast"/>
          <w:jc w:val="center"/>
        </w:trPr>
        <w:tc>
          <w:tcPr>
            <w:tcW w:w="1072" w:type="dxa"/>
            <w:tcMar>
              <w:top w:w="0" w:type="dxa"/>
              <w:left w:w="57" w:type="dxa"/>
              <w:bottom w:w="0" w:type="dxa"/>
              <w:right w:w="57" w:type="dxa"/>
            </w:tcMar>
            <w:vAlign w:val="center"/>
          </w:tcPr>
          <w:p w14:paraId="3900358C">
            <w:pPr>
              <w:jc w:val="center"/>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有力有序推进复工达产</w:t>
            </w:r>
          </w:p>
        </w:tc>
        <w:tc>
          <w:tcPr>
            <w:tcW w:w="2748" w:type="dxa"/>
            <w:tcMar>
              <w:top w:w="0" w:type="dxa"/>
              <w:left w:w="57" w:type="dxa"/>
              <w:bottom w:w="0" w:type="dxa"/>
              <w:right w:w="57" w:type="dxa"/>
            </w:tcMar>
            <w:vAlign w:val="center"/>
          </w:tcPr>
          <w:p w14:paraId="269F9416">
            <w:pPr>
              <w:pStyle w:val="42"/>
              <w:numPr>
                <w:ilvl w:val="0"/>
                <w:numId w:val="2"/>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2022年海淀区建设项目防疫补助发放方案</w:t>
            </w:r>
          </w:p>
        </w:tc>
        <w:tc>
          <w:tcPr>
            <w:tcW w:w="5637" w:type="dxa"/>
            <w:tcMar>
              <w:top w:w="0" w:type="dxa"/>
              <w:left w:w="57" w:type="dxa"/>
              <w:bottom w:w="0" w:type="dxa"/>
              <w:right w:w="57" w:type="dxa"/>
            </w:tcMar>
            <w:vAlign w:val="center"/>
          </w:tcPr>
          <w:p w14:paraId="2E2FBDB2">
            <w:pPr>
              <w:pStyle w:val="42"/>
              <w:numPr>
                <w:ilvl w:val="0"/>
                <w:numId w:val="3"/>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122家工业企业纳入“白名单”，其中7家企业进入国家级“白名单”、55家企业进入市级“白名单”。</w:t>
            </w:r>
          </w:p>
          <w:p w14:paraId="23CF256A">
            <w:pPr>
              <w:pStyle w:val="42"/>
              <w:numPr>
                <w:ilvl w:val="0"/>
                <w:numId w:val="3"/>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对二季度建安投资超亿元的24个项目奖励650万元。</w:t>
            </w:r>
          </w:p>
        </w:tc>
      </w:tr>
      <w:tr w14:paraId="75610C16">
        <w:trPr>
          <w:trHeight w:val="567" w:hRule="atLeast"/>
          <w:jc w:val="center"/>
        </w:trPr>
        <w:tc>
          <w:tcPr>
            <w:tcW w:w="1072" w:type="dxa"/>
            <w:tcMar>
              <w:top w:w="0" w:type="dxa"/>
              <w:left w:w="57" w:type="dxa"/>
              <w:bottom w:w="0" w:type="dxa"/>
              <w:right w:w="57" w:type="dxa"/>
            </w:tcMar>
            <w:vAlign w:val="center"/>
          </w:tcPr>
          <w:p w14:paraId="04261D8C">
            <w:pPr>
              <w:jc w:val="center"/>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提升高精尖产业发展能级</w:t>
            </w:r>
          </w:p>
        </w:tc>
        <w:tc>
          <w:tcPr>
            <w:tcW w:w="2748" w:type="dxa"/>
            <w:tcMar>
              <w:top w:w="0" w:type="dxa"/>
              <w:left w:w="57" w:type="dxa"/>
              <w:bottom w:w="0" w:type="dxa"/>
              <w:right w:w="57" w:type="dxa"/>
            </w:tcMar>
            <w:vAlign w:val="center"/>
          </w:tcPr>
          <w:p w14:paraId="6A6D47A7">
            <w:pPr>
              <w:pStyle w:val="42"/>
              <w:adjustRightInd w:val="0"/>
              <w:snapToGrid w:val="0"/>
              <w:spacing w:line="266" w:lineRule="exact"/>
              <w:ind w:firstLine="0" w:firstLineChars="0"/>
              <w:rPr>
                <w:rFonts w:hint="eastAsia" w:ascii="仿宋_GB2312" w:hAnsi="仿宋_GB2312" w:eastAsia="仿宋_GB2312" w:cs="仿宋_GB2312"/>
                <w:b w:val="0"/>
                <w:bCs w:val="0"/>
                <w:sz w:val="22"/>
              </w:rPr>
            </w:pPr>
          </w:p>
        </w:tc>
        <w:tc>
          <w:tcPr>
            <w:tcW w:w="5637" w:type="dxa"/>
            <w:tcMar>
              <w:top w:w="0" w:type="dxa"/>
              <w:left w:w="57" w:type="dxa"/>
              <w:bottom w:w="0" w:type="dxa"/>
              <w:right w:w="57" w:type="dxa"/>
            </w:tcMar>
            <w:vAlign w:val="center"/>
          </w:tcPr>
          <w:p w14:paraId="4020314A">
            <w:pPr>
              <w:pStyle w:val="42"/>
              <w:numPr>
                <w:ilvl w:val="0"/>
                <w:numId w:val="3"/>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政府采购项目预算总额45.32亿元</w:t>
            </w:r>
            <w:r>
              <w:rPr>
                <w:rFonts w:hint="eastAsia" w:ascii="仿宋_GB2312" w:hAnsi="仿宋_GB2312" w:eastAsia="仿宋_GB2312" w:cs="仿宋_GB2312"/>
                <w:b w:val="0"/>
                <w:bCs w:val="0"/>
                <w:sz w:val="22"/>
                <w:lang w:eastAsia="zh-CN"/>
              </w:rPr>
              <w:t>，</w:t>
            </w:r>
            <w:r>
              <w:rPr>
                <w:rFonts w:hint="eastAsia" w:ascii="仿宋_GB2312" w:hAnsi="仿宋_GB2312" w:eastAsia="仿宋_GB2312" w:cs="仿宋_GB2312"/>
                <w:b w:val="0"/>
                <w:bCs w:val="0"/>
                <w:sz w:val="22"/>
              </w:rPr>
              <w:t>面向中小企业预留21.17亿元，占46.71%。</w:t>
            </w:r>
          </w:p>
          <w:p w14:paraId="77997D82">
            <w:pPr>
              <w:pStyle w:val="42"/>
              <w:numPr>
                <w:ilvl w:val="0"/>
                <w:numId w:val="3"/>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7户企业享受技术转让减免2430.36万元。</w:t>
            </w:r>
          </w:p>
          <w:p w14:paraId="119D3E31">
            <w:pPr>
              <w:pStyle w:val="42"/>
              <w:numPr>
                <w:ilvl w:val="0"/>
                <w:numId w:val="3"/>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共有53家企业办理72笔便利化外债试点业务，涉及金额约42亿美元；共有18家企业办理一次性外债登记业务，额度近150亿美元，资金使用效率平均提升30%。</w:t>
            </w:r>
          </w:p>
        </w:tc>
      </w:tr>
      <w:tr w14:paraId="6FEF36D7">
        <w:trPr>
          <w:trHeight w:val="567" w:hRule="atLeast"/>
          <w:jc w:val="center"/>
        </w:trPr>
        <w:tc>
          <w:tcPr>
            <w:tcW w:w="1072" w:type="dxa"/>
            <w:tcMar>
              <w:top w:w="0" w:type="dxa"/>
              <w:left w:w="57" w:type="dxa"/>
              <w:bottom w:w="0" w:type="dxa"/>
              <w:right w:w="57" w:type="dxa"/>
            </w:tcMar>
            <w:vAlign w:val="center"/>
          </w:tcPr>
          <w:p w14:paraId="1E960D04">
            <w:pPr>
              <w:jc w:val="center"/>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着力发挥好投资拉动作用</w:t>
            </w:r>
          </w:p>
        </w:tc>
        <w:tc>
          <w:tcPr>
            <w:tcW w:w="2748" w:type="dxa"/>
            <w:tcMar>
              <w:top w:w="0" w:type="dxa"/>
              <w:left w:w="57" w:type="dxa"/>
              <w:bottom w:w="0" w:type="dxa"/>
              <w:right w:w="57" w:type="dxa"/>
            </w:tcMar>
            <w:vAlign w:val="center"/>
          </w:tcPr>
          <w:p w14:paraId="27836EEC">
            <w:pPr>
              <w:pStyle w:val="42"/>
              <w:numPr>
                <w:ilvl w:val="0"/>
                <w:numId w:val="2"/>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海淀区2022年重大投资项目谋划专项支持经费申报指南</w:t>
            </w:r>
          </w:p>
        </w:tc>
        <w:tc>
          <w:tcPr>
            <w:tcW w:w="5637" w:type="dxa"/>
            <w:tcMar>
              <w:top w:w="0" w:type="dxa"/>
              <w:left w:w="57" w:type="dxa"/>
              <w:bottom w:w="0" w:type="dxa"/>
              <w:right w:w="57" w:type="dxa"/>
            </w:tcMar>
            <w:vAlign w:val="center"/>
          </w:tcPr>
          <w:p w14:paraId="61B0C283">
            <w:pPr>
              <w:numPr>
                <w:ilvl w:val="0"/>
                <w:numId w:val="4"/>
              </w:numPr>
              <w:adjustRightInd w:val="0"/>
              <w:snapToGrid w:val="0"/>
              <w:spacing w:line="266" w:lineRule="exact"/>
              <w:ind w:left="0" w:firstLine="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向社会征集重大项目谋划23个，总投资约293亿元。</w:t>
            </w:r>
          </w:p>
          <w:p w14:paraId="0146AA08">
            <w:pPr>
              <w:numPr>
                <w:ilvl w:val="0"/>
                <w:numId w:val="4"/>
              </w:numPr>
              <w:spacing w:line="266" w:lineRule="exact"/>
              <w:ind w:left="0" w:firstLine="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2023年专项债申报项目11个，资金需求344.48亿元，国家发改委已于10月13日审核通过。</w:t>
            </w:r>
          </w:p>
          <w:p w14:paraId="087BFC4D">
            <w:pPr>
              <w:numPr>
                <w:ilvl w:val="0"/>
                <w:numId w:val="4"/>
              </w:numPr>
              <w:adjustRightInd w:val="0"/>
              <w:snapToGrid w:val="0"/>
              <w:spacing w:line="266" w:lineRule="exact"/>
              <w:ind w:left="0" w:firstLine="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REITs项目加快推进：金隅智造工场产权一期项目已正式申报并取得市政府批复，海悦梧桐苑REITS项目已确认合作方。</w:t>
            </w:r>
          </w:p>
        </w:tc>
      </w:tr>
      <w:tr w14:paraId="73B8070D">
        <w:trPr>
          <w:trHeight w:val="567" w:hRule="atLeast"/>
          <w:jc w:val="center"/>
        </w:trPr>
        <w:tc>
          <w:tcPr>
            <w:tcW w:w="1072" w:type="dxa"/>
            <w:tcMar>
              <w:top w:w="0" w:type="dxa"/>
              <w:left w:w="57" w:type="dxa"/>
              <w:bottom w:w="0" w:type="dxa"/>
              <w:right w:w="57" w:type="dxa"/>
            </w:tcMar>
            <w:vAlign w:val="center"/>
          </w:tcPr>
          <w:p w14:paraId="088CD767">
            <w:pPr>
              <w:jc w:val="center"/>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加快恢复和挖掘消费潜力</w:t>
            </w:r>
          </w:p>
        </w:tc>
        <w:tc>
          <w:tcPr>
            <w:tcW w:w="2748" w:type="dxa"/>
            <w:tcMar>
              <w:top w:w="0" w:type="dxa"/>
              <w:left w:w="57" w:type="dxa"/>
              <w:bottom w:w="0" w:type="dxa"/>
              <w:right w:w="57" w:type="dxa"/>
            </w:tcMar>
            <w:vAlign w:val="center"/>
          </w:tcPr>
          <w:p w14:paraId="6719D505">
            <w:pPr>
              <w:pStyle w:val="42"/>
              <w:numPr>
                <w:ilvl w:val="0"/>
                <w:numId w:val="2"/>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关于海淀区商业零售和餐饮企业防疫消杀补贴的申报指南</w:t>
            </w:r>
          </w:p>
          <w:p w14:paraId="2AD2D64F">
            <w:pPr>
              <w:pStyle w:val="42"/>
              <w:numPr>
                <w:ilvl w:val="0"/>
                <w:numId w:val="2"/>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关于2022年海淀区旅游产业发展引导资金项目的征集公告</w:t>
            </w:r>
          </w:p>
        </w:tc>
        <w:tc>
          <w:tcPr>
            <w:tcW w:w="5637" w:type="dxa"/>
            <w:tcMar>
              <w:top w:w="0" w:type="dxa"/>
              <w:left w:w="57" w:type="dxa"/>
              <w:bottom w:w="0" w:type="dxa"/>
              <w:right w:w="57" w:type="dxa"/>
            </w:tcMar>
            <w:vAlign w:val="center"/>
          </w:tcPr>
          <w:p w14:paraId="4D454CA2">
            <w:pPr>
              <w:pStyle w:val="42"/>
              <w:numPr>
                <w:ilvl w:val="0"/>
                <w:numId w:val="3"/>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为146家商场和餐饮企业发放防疫补贴</w:t>
            </w:r>
            <w:r>
              <w:rPr>
                <w:rFonts w:hint="eastAsia" w:ascii="仿宋_GB2312" w:hAnsi="仿宋_GB2312" w:eastAsia="仿宋_GB2312" w:cs="仿宋_GB2312"/>
                <w:b w:val="0"/>
                <w:bCs w:val="0"/>
                <w:sz w:val="22"/>
                <w:lang w:val="en-US" w:eastAsia="zh-CN"/>
              </w:rPr>
              <w:t>294.7</w:t>
            </w:r>
            <w:r>
              <w:rPr>
                <w:rFonts w:hint="eastAsia" w:ascii="仿宋_GB2312" w:hAnsi="仿宋_GB2312" w:eastAsia="仿宋_GB2312" w:cs="仿宋_GB2312"/>
                <w:b w:val="0"/>
                <w:bCs w:val="0"/>
                <w:sz w:val="22"/>
              </w:rPr>
              <w:t>万元。</w:t>
            </w:r>
          </w:p>
          <w:p w14:paraId="2C3EE96B">
            <w:pPr>
              <w:pStyle w:val="42"/>
              <w:numPr>
                <w:ilvl w:val="0"/>
                <w:numId w:val="3"/>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支持文化发展项目64个、3000.47万元，数字文化产业项目23个、1336.29万元，实体书店项目57个、1240.01万元。</w:t>
            </w:r>
          </w:p>
        </w:tc>
      </w:tr>
      <w:tr w14:paraId="18AE64EF">
        <w:trPr>
          <w:trHeight w:val="567" w:hRule="atLeast"/>
          <w:jc w:val="center"/>
        </w:trPr>
        <w:tc>
          <w:tcPr>
            <w:tcW w:w="1072" w:type="dxa"/>
            <w:tcMar>
              <w:top w:w="0" w:type="dxa"/>
              <w:left w:w="57" w:type="dxa"/>
              <w:bottom w:w="0" w:type="dxa"/>
              <w:right w:w="57" w:type="dxa"/>
            </w:tcMar>
            <w:vAlign w:val="center"/>
          </w:tcPr>
          <w:p w14:paraId="103A70FA">
            <w:pPr>
              <w:jc w:val="center"/>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筑牢民生保障底线</w:t>
            </w:r>
          </w:p>
        </w:tc>
        <w:tc>
          <w:tcPr>
            <w:tcW w:w="2748" w:type="dxa"/>
            <w:tcMar>
              <w:top w:w="0" w:type="dxa"/>
              <w:left w:w="57" w:type="dxa"/>
              <w:bottom w:w="0" w:type="dxa"/>
              <w:right w:w="57" w:type="dxa"/>
            </w:tcMar>
            <w:vAlign w:val="center"/>
          </w:tcPr>
          <w:p w14:paraId="39B88E79">
            <w:pPr>
              <w:pStyle w:val="42"/>
              <w:numPr>
                <w:ilvl w:val="0"/>
                <w:numId w:val="2"/>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海淀区促进登记失业人员就业补助办法</w:t>
            </w:r>
          </w:p>
          <w:p w14:paraId="6B7C0F38">
            <w:pPr>
              <w:pStyle w:val="42"/>
              <w:numPr>
                <w:ilvl w:val="0"/>
                <w:numId w:val="2"/>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关于明确兼职参与社区疫情防控人员工作补贴的通知</w:t>
            </w:r>
          </w:p>
        </w:tc>
        <w:tc>
          <w:tcPr>
            <w:tcW w:w="5637" w:type="dxa"/>
            <w:tcMar>
              <w:top w:w="0" w:type="dxa"/>
              <w:left w:w="57" w:type="dxa"/>
              <w:bottom w:w="0" w:type="dxa"/>
              <w:right w:w="57" w:type="dxa"/>
            </w:tcMar>
            <w:vAlign w:val="center"/>
          </w:tcPr>
          <w:p w14:paraId="333DA7FC">
            <w:pPr>
              <w:pStyle w:val="42"/>
              <w:numPr>
                <w:ilvl w:val="0"/>
                <w:numId w:val="3"/>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已拨付</w:t>
            </w:r>
            <w:r>
              <w:rPr>
                <w:rFonts w:hint="eastAsia" w:ascii="仿宋_GB2312" w:hAnsi="仿宋_GB2312" w:eastAsia="仿宋_GB2312" w:cs="仿宋_GB2312"/>
                <w:b w:val="0"/>
                <w:bCs w:val="0"/>
                <w:sz w:val="22"/>
                <w:lang w:val="en-US" w:eastAsia="zh-CN"/>
              </w:rPr>
              <w:t>4050</w:t>
            </w:r>
            <w:r>
              <w:rPr>
                <w:rFonts w:hint="eastAsia" w:ascii="仿宋_GB2312" w:hAnsi="仿宋_GB2312" w:eastAsia="仿宋_GB2312" w:cs="仿宋_GB2312"/>
                <w:b w:val="0"/>
                <w:bCs w:val="0"/>
                <w:sz w:val="22"/>
              </w:rPr>
              <w:t>人</w:t>
            </w:r>
            <w:r>
              <w:rPr>
                <w:rFonts w:hint="eastAsia" w:ascii="仿宋_GB2312" w:hAnsi="仿宋_GB2312" w:eastAsia="仿宋_GB2312" w:cs="仿宋_GB2312"/>
                <w:b w:val="0"/>
                <w:bCs w:val="0"/>
                <w:sz w:val="22"/>
                <w:lang w:val="en-US" w:eastAsia="zh-CN"/>
              </w:rPr>
              <w:t>607.5</w:t>
            </w:r>
            <w:r>
              <w:rPr>
                <w:rFonts w:hint="eastAsia" w:ascii="仿宋_GB2312" w:hAnsi="仿宋_GB2312" w:eastAsia="仿宋_GB2312" w:cs="仿宋_GB2312"/>
                <w:b w:val="0"/>
                <w:bCs w:val="0"/>
                <w:sz w:val="22"/>
              </w:rPr>
              <w:t>万元一次性扩岗补助。</w:t>
            </w:r>
          </w:p>
          <w:p w14:paraId="34ADBF76">
            <w:pPr>
              <w:pStyle w:val="42"/>
              <w:numPr>
                <w:ilvl w:val="0"/>
                <w:numId w:val="3"/>
              </w:numPr>
              <w:adjustRightInd w:val="0"/>
              <w:snapToGrid w:val="0"/>
              <w:spacing w:line="266" w:lineRule="exact"/>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拨付</w:t>
            </w:r>
            <w:r>
              <w:rPr>
                <w:rFonts w:hint="eastAsia" w:ascii="仿宋_GB2312" w:hAnsi="仿宋_GB2312" w:eastAsia="仿宋_GB2312" w:cs="仿宋_GB2312"/>
                <w:b w:val="0"/>
                <w:bCs w:val="0"/>
                <w:sz w:val="22"/>
                <w:lang w:val="en-US" w:eastAsia="zh-CN"/>
              </w:rPr>
              <w:t>910</w:t>
            </w:r>
            <w:r>
              <w:rPr>
                <w:rFonts w:hint="eastAsia" w:ascii="仿宋_GB2312" w:hAnsi="仿宋_GB2312" w:eastAsia="仿宋_GB2312" w:cs="仿宋_GB2312"/>
                <w:b w:val="0"/>
                <w:bCs w:val="0"/>
                <w:sz w:val="22"/>
              </w:rPr>
              <w:t>人就业补助资金</w:t>
            </w:r>
            <w:r>
              <w:rPr>
                <w:rFonts w:hint="eastAsia" w:ascii="仿宋_GB2312" w:hAnsi="仿宋_GB2312" w:eastAsia="仿宋_GB2312" w:cs="仿宋_GB2312"/>
                <w:b w:val="0"/>
                <w:bCs w:val="0"/>
                <w:sz w:val="22"/>
                <w:lang w:val="en-US" w:eastAsia="zh-CN"/>
              </w:rPr>
              <w:t>492.15</w:t>
            </w:r>
            <w:r>
              <w:rPr>
                <w:rFonts w:hint="eastAsia" w:ascii="仿宋_GB2312" w:hAnsi="仿宋_GB2312" w:eastAsia="仿宋_GB2312" w:cs="仿宋_GB2312"/>
                <w:b w:val="0"/>
                <w:bCs w:val="0"/>
                <w:sz w:val="22"/>
              </w:rPr>
              <w:t>万元。</w:t>
            </w:r>
          </w:p>
        </w:tc>
      </w:tr>
    </w:tbl>
    <w:p w14:paraId="5DEAFA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宋体" w:eastAsia="仿宋_GB2312"/>
          <w:b w:val="0"/>
          <w:bCs w:val="0"/>
          <w:sz w:val="32"/>
          <w:szCs w:val="32"/>
        </w:rPr>
      </w:pPr>
      <w:r>
        <w:rPr>
          <w:rFonts w:hint="eastAsia" w:ascii="仿宋_GB2312" w:hAnsi="宋体" w:eastAsia="仿宋_GB2312"/>
          <w:b w:val="0"/>
          <w:bCs w:val="0"/>
          <w:sz w:val="32"/>
          <w:szCs w:val="32"/>
        </w:rPr>
        <w:t>复工</w:t>
      </w:r>
      <w:r>
        <w:rPr>
          <w:rFonts w:hint="eastAsia" w:ascii="仿宋_GB2312" w:hAnsi="宋体" w:eastAsia="仿宋_GB2312"/>
          <w:b w:val="0"/>
          <w:bCs w:val="0"/>
          <w:sz w:val="32"/>
          <w:szCs w:val="32"/>
          <w:lang w:eastAsia="zh-CN"/>
        </w:rPr>
        <w:t>复</w:t>
      </w:r>
      <w:r>
        <w:rPr>
          <w:rFonts w:hint="eastAsia" w:ascii="仿宋_GB2312" w:hAnsi="宋体" w:eastAsia="仿宋_GB2312"/>
          <w:b w:val="0"/>
          <w:bCs w:val="0"/>
          <w:sz w:val="32"/>
          <w:szCs w:val="32"/>
        </w:rPr>
        <w:t>产稳妥有序。</w:t>
      </w:r>
      <w:r>
        <w:rPr>
          <w:rFonts w:hint="eastAsia" w:ascii="仿宋_GB2312" w:hAnsi="宋体" w:eastAsia="仿宋_GB2312"/>
          <w:b w:val="0"/>
          <w:bCs w:val="0"/>
          <w:sz w:val="32"/>
          <w:szCs w:val="32"/>
          <w:lang w:eastAsia="zh-CN"/>
        </w:rPr>
        <w:t>稳妥迅捷</w:t>
      </w:r>
      <w:r>
        <w:rPr>
          <w:rFonts w:hint="eastAsia" w:ascii="仿宋_GB2312" w:hAnsi="仿宋_GB2312" w:eastAsia="仿宋_GB2312" w:cs="仿宋_GB2312"/>
          <w:b w:val="0"/>
          <w:bCs w:val="0"/>
          <w:sz w:val="32"/>
          <w:szCs w:val="32"/>
        </w:rPr>
        <w:t>落实</w:t>
      </w:r>
      <w:r>
        <w:rPr>
          <w:rFonts w:hint="eastAsia" w:ascii="仿宋_GB2312" w:hAnsi="仿宋_GB2312" w:eastAsia="仿宋_GB2312" w:cs="仿宋_GB2312"/>
          <w:b w:val="0"/>
          <w:bCs w:val="0"/>
          <w:sz w:val="32"/>
          <w:szCs w:val="32"/>
          <w:lang w:eastAsia="zh-CN"/>
        </w:rPr>
        <w:t>疫情防控“国十条”“京十条”</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eastAsia="zh-CN"/>
        </w:rPr>
        <w:t>政策</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出台全区一揽子优化调整方案，推动全区快速实现全面复工复产</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将</w:t>
      </w:r>
      <w:r>
        <w:rPr>
          <w:rFonts w:hint="eastAsia" w:ascii="仿宋_GB2312" w:hAnsi="仿宋_GB2312" w:eastAsia="仿宋_GB2312" w:cs="仿宋_GB2312"/>
          <w:b w:val="0"/>
          <w:bCs w:val="0"/>
          <w:sz w:val="32"/>
          <w:szCs w:val="32"/>
        </w:rPr>
        <w:t>122家工业企业纳入“白名单”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为46家企业协调进京生产物资运输，办理运输转运证3593</w:t>
      </w:r>
      <w:r>
        <w:rPr>
          <w:rFonts w:ascii="仿宋_GB2312" w:hAnsi="仿宋_GB2312" w:eastAsia="仿宋_GB2312" w:cs="仿宋_GB2312"/>
          <w:b w:val="0"/>
          <w:bCs w:val="0"/>
          <w:sz w:val="32"/>
          <w:szCs w:val="32"/>
        </w:rPr>
        <w:t>张</w:t>
      </w:r>
      <w:r>
        <w:rPr>
          <w:rFonts w:hint="eastAsia" w:ascii="仿宋_GB2312" w:hAnsi="仿宋_GB2312" w:eastAsia="仿宋_GB2312" w:cs="仿宋_GB2312"/>
          <w:b w:val="0"/>
          <w:bCs w:val="0"/>
          <w:sz w:val="32"/>
          <w:szCs w:val="32"/>
        </w:rPr>
        <w:t>，及时</w:t>
      </w:r>
      <w:r>
        <w:rPr>
          <w:rFonts w:hint="eastAsia" w:ascii="仿宋_GB2312" w:hAnsi="仿宋_GB2312" w:eastAsia="仿宋_GB2312" w:cs="仿宋_GB2312"/>
          <w:b w:val="0"/>
          <w:bCs w:val="0"/>
          <w:sz w:val="32"/>
          <w:szCs w:val="32"/>
          <w:lang w:eastAsia="zh-CN"/>
        </w:rPr>
        <w:t>打通</w:t>
      </w:r>
      <w:r>
        <w:rPr>
          <w:rFonts w:hint="eastAsia" w:ascii="仿宋_GB2312" w:hAnsi="仿宋_GB2312" w:eastAsia="仿宋_GB2312" w:cs="仿宋_GB2312"/>
          <w:b w:val="0"/>
          <w:bCs w:val="0"/>
          <w:sz w:val="32"/>
          <w:szCs w:val="32"/>
        </w:rPr>
        <w:t>企业产业链供应链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堵点卡点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。设立105家生活必需品应急网点，实现街镇全覆盖，</w:t>
      </w:r>
      <w:r>
        <w:rPr>
          <w:rFonts w:hint="eastAsia" w:ascii="仿宋_GB2312" w:hAnsi="仿宋_GB2312" w:eastAsia="仿宋_GB2312" w:cs="仿宋_GB2312"/>
          <w:b w:val="0"/>
          <w:bCs w:val="0"/>
          <w:sz w:val="32"/>
          <w:szCs w:val="32"/>
          <w:lang w:eastAsia="zh-CN"/>
        </w:rPr>
        <w:t>应急物资</w:t>
      </w:r>
      <w:r>
        <w:rPr>
          <w:rFonts w:hint="eastAsia" w:ascii="仿宋_GB2312" w:hAnsi="仿宋_GB2312" w:eastAsia="仿宋_GB2312" w:cs="仿宋_GB2312"/>
          <w:b w:val="0"/>
          <w:bCs w:val="0"/>
          <w:sz w:val="32"/>
          <w:szCs w:val="32"/>
        </w:rPr>
        <w:t>日配送能力超600吨。协调小米公司廊坊工厂</w:t>
      </w:r>
      <w:r>
        <w:rPr>
          <w:rFonts w:hint="eastAsia" w:ascii="仿宋_GB2312" w:hAnsi="仿宋_GB2312" w:eastAsia="仿宋_GB2312" w:cs="仿宋_GB2312"/>
          <w:b w:val="0"/>
          <w:bCs w:val="0"/>
          <w:sz w:val="32"/>
          <w:szCs w:val="32"/>
          <w:lang w:eastAsia="zh-CN"/>
        </w:rPr>
        <w:t>等外地厂区</w:t>
      </w:r>
      <w:r>
        <w:rPr>
          <w:rFonts w:hint="eastAsia" w:ascii="仿宋_GB2312" w:hAnsi="仿宋_GB2312" w:eastAsia="仿宋_GB2312" w:cs="仿宋_GB2312"/>
          <w:b w:val="0"/>
          <w:bCs w:val="0"/>
          <w:sz w:val="32"/>
          <w:szCs w:val="32"/>
        </w:rPr>
        <w:t>采取园区封闭管理模</w:t>
      </w:r>
      <w:r>
        <w:rPr>
          <w:rFonts w:hint="eastAsia" w:ascii="仿宋_GB2312" w:hAnsi="宋体" w:eastAsia="仿宋_GB2312"/>
          <w:b w:val="0"/>
          <w:bCs w:val="0"/>
          <w:sz w:val="32"/>
          <w:szCs w:val="32"/>
        </w:rPr>
        <w:t>式实现快速复工；严格落实施工现场闭环管理，全力保障市重点工程建设进度。</w:t>
      </w:r>
    </w:p>
    <w:p w14:paraId="5B8E1F8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b w:val="0"/>
          <w:bCs w:val="0"/>
          <w:sz w:val="32"/>
          <w:szCs w:val="32"/>
        </w:rPr>
      </w:pPr>
      <w:r>
        <w:rPr>
          <w:rFonts w:hint="eastAsia" w:ascii="仿宋_GB2312" w:hAnsi="仿宋" w:eastAsia="仿宋_GB2312"/>
          <w:b w:val="0"/>
          <w:bCs w:val="0"/>
          <w:sz w:val="32"/>
          <w:szCs w:val="32"/>
        </w:rPr>
        <w:t>经过不懈努力，全区经济总体上延续了恢复态势，经济社会发展大局保持稳定。全年地区生产总值</w:t>
      </w:r>
      <w:r>
        <w:rPr>
          <w:rFonts w:hint="eastAsia" w:ascii="仿宋_GB2312" w:hAnsi="仿宋" w:eastAsia="仿宋_GB2312"/>
          <w:b w:val="0"/>
          <w:bCs w:val="0"/>
          <w:sz w:val="32"/>
          <w:szCs w:val="32"/>
          <w:lang w:eastAsia="zh-CN"/>
        </w:rPr>
        <w:t>预计</w:t>
      </w:r>
      <w:r>
        <w:rPr>
          <w:rFonts w:hint="eastAsia" w:ascii="仿宋_GB2312" w:hAnsi="仿宋" w:eastAsia="仿宋_GB2312"/>
          <w:b w:val="0"/>
          <w:bCs w:val="0"/>
          <w:sz w:val="32"/>
          <w:szCs w:val="32"/>
        </w:rPr>
        <w:t>突破</w:t>
      </w:r>
      <w:r>
        <w:rPr>
          <w:rFonts w:ascii="仿宋_GB2312" w:hAnsi="仿宋" w:eastAsia="仿宋_GB2312"/>
          <w:b w:val="0"/>
          <w:bCs w:val="0"/>
          <w:sz w:val="32"/>
          <w:szCs w:val="32"/>
        </w:rPr>
        <w:t>1</w:t>
      </w:r>
      <w:r>
        <w:rPr>
          <w:rFonts w:hint="eastAsia" w:ascii="仿宋_GB2312" w:hAnsi="仿宋" w:eastAsia="仿宋_GB2312"/>
          <w:b w:val="0"/>
          <w:bCs w:val="0"/>
          <w:sz w:val="32"/>
          <w:szCs w:val="32"/>
        </w:rPr>
        <w:t>万亿，同比增长</w:t>
      </w:r>
      <w:r>
        <w:rPr>
          <w:rFonts w:ascii="仿宋_GB2312" w:hAnsi="仿宋" w:eastAsia="仿宋_GB2312"/>
          <w:b w:val="0"/>
          <w:bCs w:val="0"/>
          <w:sz w:val="32"/>
          <w:szCs w:val="32"/>
        </w:rPr>
        <w:t>4%</w:t>
      </w:r>
      <w:r>
        <w:rPr>
          <w:rFonts w:hint="eastAsia" w:ascii="仿宋_GB2312" w:hAnsi="仿宋" w:eastAsia="仿宋_GB2312"/>
          <w:b w:val="0"/>
          <w:bCs w:val="0"/>
          <w:sz w:val="32"/>
          <w:szCs w:val="32"/>
        </w:rPr>
        <w:t>；居民人均可支配收入</w:t>
      </w:r>
      <w:r>
        <w:rPr>
          <w:rFonts w:hint="eastAsia" w:ascii="仿宋_GB2312" w:hAnsi="仿宋" w:eastAsia="仿宋_GB2312"/>
          <w:b w:val="0"/>
          <w:bCs w:val="0"/>
          <w:sz w:val="32"/>
          <w:szCs w:val="32"/>
          <w:lang w:eastAsia="zh-CN"/>
        </w:rPr>
        <w:t>预计实现</w:t>
      </w:r>
      <w:r>
        <w:rPr>
          <w:rFonts w:hint="eastAsia" w:ascii="仿宋_GB2312" w:hAnsi="仿宋" w:eastAsia="仿宋_GB2312"/>
          <w:b w:val="0"/>
          <w:bCs w:val="0"/>
          <w:sz w:val="32"/>
          <w:szCs w:val="32"/>
          <w:lang w:val="en-US" w:eastAsia="zh-CN"/>
        </w:rPr>
        <w:t>9.6万元左右，</w:t>
      </w:r>
      <w:r>
        <w:rPr>
          <w:rFonts w:hint="eastAsia" w:ascii="仿宋_GB2312" w:hAnsi="仿宋" w:eastAsia="仿宋_GB2312"/>
          <w:b w:val="0"/>
          <w:bCs w:val="0"/>
          <w:sz w:val="32"/>
          <w:szCs w:val="32"/>
        </w:rPr>
        <w:t>同比增长</w:t>
      </w:r>
      <w:r>
        <w:rPr>
          <w:rFonts w:hint="eastAsia" w:ascii="仿宋_GB2312" w:hAnsi="仿宋" w:eastAsia="仿宋_GB2312"/>
          <w:b w:val="0"/>
          <w:bCs w:val="0"/>
          <w:sz w:val="32"/>
          <w:szCs w:val="32"/>
          <w:lang w:val="en-US" w:eastAsia="zh-CN"/>
        </w:rPr>
        <w:t>2.9</w:t>
      </w:r>
      <w:r>
        <w:rPr>
          <w:rFonts w:ascii="仿宋_GB2312" w:hAnsi="仿宋" w:eastAsia="仿宋_GB2312"/>
          <w:b w:val="0"/>
          <w:bCs w:val="0"/>
          <w:sz w:val="32"/>
          <w:szCs w:val="32"/>
        </w:rPr>
        <w:t>%左右</w:t>
      </w:r>
      <w:r>
        <w:rPr>
          <w:rFonts w:hint="eastAsia" w:ascii="仿宋_GB2312" w:hAnsi="仿宋" w:eastAsia="仿宋_GB2312"/>
          <w:b w:val="0"/>
          <w:bCs w:val="0"/>
          <w:sz w:val="32"/>
          <w:szCs w:val="32"/>
        </w:rPr>
        <w:t>；区级一般公共预算收入</w:t>
      </w:r>
      <w:r>
        <w:rPr>
          <w:rFonts w:ascii="仿宋_GB2312" w:hAnsi="仿宋" w:eastAsia="仿宋_GB2312"/>
          <w:b w:val="0"/>
          <w:bCs w:val="0"/>
          <w:sz w:val="32"/>
          <w:szCs w:val="32"/>
        </w:rPr>
        <w:t>490.5</w:t>
      </w:r>
      <w:r>
        <w:rPr>
          <w:rFonts w:hint="eastAsia" w:ascii="仿宋_GB2312" w:hAnsi="仿宋" w:eastAsia="仿宋_GB2312"/>
          <w:b w:val="0"/>
          <w:bCs w:val="0"/>
          <w:sz w:val="32"/>
          <w:szCs w:val="32"/>
        </w:rPr>
        <w:t>亿元，</w:t>
      </w:r>
      <w:r>
        <w:rPr>
          <w:rFonts w:hint="eastAsia" w:ascii="仿宋_GB2312" w:hAnsi="仿宋" w:eastAsia="仿宋_GB2312"/>
          <w:b w:val="0"/>
          <w:bCs w:val="0"/>
          <w:sz w:val="32"/>
          <w:szCs w:val="32"/>
          <w:lang w:val="en-US" w:eastAsia="zh-CN"/>
        </w:rPr>
        <w:t>实现正增长，扣除留抵退税因素后，</w:t>
      </w:r>
      <w:r>
        <w:rPr>
          <w:rFonts w:ascii="仿宋_GB2312" w:hAnsi="仿宋" w:eastAsia="仿宋_GB2312"/>
          <w:b w:val="0"/>
          <w:bCs w:val="0"/>
          <w:sz w:val="32"/>
          <w:szCs w:val="32"/>
        </w:rPr>
        <w:t>同口径增长8.</w:t>
      </w:r>
      <w:r>
        <w:rPr>
          <w:rFonts w:hint="eastAsia" w:ascii="仿宋_GB2312" w:hAnsi="仿宋" w:eastAsia="仿宋_GB2312"/>
          <w:b w:val="0"/>
          <w:bCs w:val="0"/>
          <w:sz w:val="32"/>
          <w:szCs w:val="32"/>
          <w:lang w:val="en-US" w:eastAsia="zh-CN"/>
        </w:rPr>
        <w:t>4</w:t>
      </w:r>
      <w:r>
        <w:rPr>
          <w:rFonts w:ascii="仿宋_GB2312" w:hAnsi="仿宋" w:eastAsia="仿宋_GB2312"/>
          <w:b w:val="0"/>
          <w:bCs w:val="0"/>
          <w:sz w:val="32"/>
          <w:szCs w:val="32"/>
        </w:rPr>
        <w:t>%</w:t>
      </w:r>
      <w:r>
        <w:rPr>
          <w:rFonts w:hint="eastAsia" w:ascii="仿宋_GB2312" w:hAnsi="仿宋" w:eastAsia="仿宋_GB2312"/>
          <w:b w:val="0"/>
          <w:bCs w:val="0"/>
          <w:sz w:val="32"/>
          <w:szCs w:val="32"/>
        </w:rPr>
        <w:t>。海淀充分发挥作为中关村企业大本营、全市经济压舱石作用，为全市高质量发展添秤。</w:t>
      </w:r>
    </w:p>
    <w:p w14:paraId="4EDF2C74">
      <w:pPr>
        <w:pStyle w:val="4"/>
        <w:keepNext w:val="0"/>
        <w:keepLines w:val="0"/>
        <w:adjustRightInd w:val="0"/>
        <w:snapToGrid w:val="0"/>
        <w:spacing w:line="560" w:lineRule="exact"/>
        <w:ind w:firstLine="640"/>
        <w:rPr>
          <w:rFonts w:ascii="Helvetica Neue" w:hAnsi="Helvetica Neue" w:eastAsia="楷体_GB2312"/>
          <w:b w:val="0"/>
          <w:bCs w:val="0"/>
          <w:shd w:val="clear" w:color="auto" w:fill="FFFFFF"/>
        </w:rPr>
      </w:pPr>
      <w:r>
        <w:rPr>
          <w:rFonts w:hint="eastAsia" w:ascii="楷体_GB2312" w:hAnsi="仿宋_GB2312" w:eastAsia="楷体_GB2312" w:cs="仿宋_GB2312"/>
          <w:b w:val="0"/>
          <w:bCs w:val="0"/>
        </w:rPr>
        <w:t>（二）扩大内需战略稳步推进，加快融入新发展格局</w:t>
      </w:r>
    </w:p>
    <w:p w14:paraId="427F3CE6">
      <w:pPr>
        <w:pStyle w:val="4"/>
        <w:keepNext w:val="0"/>
        <w:keepLines w:val="0"/>
        <w:adjustRightInd w:val="0"/>
        <w:snapToGrid w:val="0"/>
        <w:spacing w:line="560" w:lineRule="exact"/>
        <w:ind w:firstLine="643"/>
        <w:rPr>
          <w:rFonts w:ascii="仿宋_GB2312" w:hAnsi="Calibri" w:eastAsia="仿宋_GB2312"/>
          <w:b w:val="0"/>
          <w:bCs w:val="0"/>
        </w:rPr>
      </w:pPr>
      <w:r>
        <w:rPr>
          <w:rFonts w:hint="eastAsia" w:ascii="仿宋_GB2312" w:hAnsi="仿宋_GB2312" w:eastAsia="仿宋_GB2312" w:cs="仿宋_GB2312"/>
          <w:b w:val="0"/>
          <w:bCs w:val="0"/>
        </w:rPr>
        <w:t>投资拉动支撑有力。政府</w:t>
      </w:r>
      <w:r>
        <w:rPr>
          <w:rFonts w:hint="eastAsia" w:ascii="仿宋_GB2312" w:eastAsia="仿宋_GB2312"/>
          <w:b w:val="0"/>
          <w:bCs w:val="0"/>
        </w:rPr>
        <w:t>投资撬动作用进一步凸显，</w:t>
      </w:r>
      <w:r>
        <w:rPr>
          <w:rFonts w:hint="eastAsia" w:ascii="仿宋_GB2312" w:hAnsi="仿宋" w:eastAsia="仿宋_GB2312"/>
          <w:b w:val="0"/>
          <w:bCs w:val="0"/>
        </w:rPr>
        <w:t>分两批安排政府投资</w:t>
      </w:r>
      <w:r>
        <w:rPr>
          <w:rFonts w:ascii="仿宋_GB2312" w:hAnsi="仿宋" w:eastAsia="仿宋_GB2312"/>
          <w:b w:val="0"/>
          <w:bCs w:val="0"/>
        </w:rPr>
        <w:t>项目193个</w:t>
      </w:r>
      <w:r>
        <w:rPr>
          <w:rFonts w:hint="eastAsia" w:ascii="仿宋_GB2312" w:hAnsi="仿宋" w:eastAsia="仿宋_GB2312"/>
          <w:b w:val="0"/>
          <w:bCs w:val="0"/>
        </w:rPr>
        <w:t>、</w:t>
      </w:r>
      <w:r>
        <w:rPr>
          <w:rFonts w:ascii="仿宋_GB2312" w:hAnsi="仿宋" w:eastAsia="仿宋_GB2312"/>
          <w:b w:val="0"/>
          <w:bCs w:val="0"/>
        </w:rPr>
        <w:t>总投资</w:t>
      </w:r>
      <w:r>
        <w:rPr>
          <w:rFonts w:hint="eastAsia" w:ascii="仿宋_GB2312" w:hAnsi="仿宋" w:eastAsia="仿宋_GB2312"/>
          <w:b w:val="0"/>
          <w:bCs w:val="0"/>
        </w:rPr>
        <w:t>额425.53</w:t>
      </w:r>
      <w:r>
        <w:rPr>
          <w:rFonts w:ascii="仿宋_GB2312" w:hAnsi="仿宋" w:eastAsia="仿宋_GB2312"/>
          <w:b w:val="0"/>
          <w:bCs w:val="0"/>
        </w:rPr>
        <w:t>亿元</w:t>
      </w:r>
      <w:r>
        <w:rPr>
          <w:rFonts w:hint="eastAsia" w:ascii="仿宋_GB2312" w:eastAsia="仿宋_GB2312"/>
          <w:b w:val="0"/>
          <w:bCs w:val="0"/>
        </w:rPr>
        <w:t>，其中当年安排投资</w:t>
      </w:r>
      <w:r>
        <w:rPr>
          <w:rFonts w:hint="eastAsia" w:ascii="仿宋_GB2312" w:eastAsia="仿宋_GB2312"/>
          <w:b w:val="0"/>
          <w:bCs w:val="0"/>
          <w:lang w:eastAsia="zh-CN"/>
        </w:rPr>
        <w:t>计划资金</w:t>
      </w:r>
      <w:r>
        <w:rPr>
          <w:rFonts w:hint="eastAsia" w:ascii="仿宋_GB2312" w:eastAsia="仿宋_GB2312"/>
          <w:b w:val="0"/>
          <w:bCs w:val="0"/>
          <w:lang w:val="en-US" w:eastAsia="zh-CN"/>
        </w:rPr>
        <w:t>120</w:t>
      </w:r>
      <w:r>
        <w:rPr>
          <w:rFonts w:hint="eastAsia" w:ascii="仿宋_GB2312" w:eastAsia="仿宋_GB2312"/>
          <w:b w:val="0"/>
          <w:bCs w:val="0"/>
        </w:rPr>
        <w:t>亿元，目前教师进修学校、金河生态治理等一批项目</w:t>
      </w:r>
      <w:r>
        <w:rPr>
          <w:rFonts w:hint="eastAsia" w:ascii="仿宋_GB2312" w:eastAsia="仿宋_GB2312"/>
          <w:b w:val="0"/>
          <w:bCs w:val="0"/>
          <w:highlight w:val="none"/>
        </w:rPr>
        <w:t>完工，</w:t>
      </w:r>
      <w:r>
        <w:rPr>
          <w:rFonts w:hint="eastAsia" w:ascii="仿宋_GB2312" w:eastAsia="仿宋_GB2312"/>
          <w:b w:val="0"/>
          <w:bCs w:val="0"/>
          <w:highlight w:val="none"/>
          <w:lang w:eastAsia="zh-CN"/>
        </w:rPr>
        <w:t>实际</w:t>
      </w:r>
      <w:r>
        <w:rPr>
          <w:rFonts w:hint="eastAsia" w:ascii="仿宋_GB2312" w:eastAsia="仿宋_GB2312"/>
          <w:b w:val="0"/>
          <w:bCs w:val="0"/>
          <w:highlight w:val="none"/>
        </w:rPr>
        <w:t>拨付资金</w:t>
      </w:r>
      <w:r>
        <w:rPr>
          <w:rFonts w:hint="eastAsia" w:ascii="仿宋_GB2312" w:eastAsia="仿宋_GB2312"/>
          <w:b w:val="0"/>
          <w:bCs w:val="0"/>
          <w:highlight w:val="none"/>
          <w:lang w:val="en-US" w:eastAsia="zh-CN"/>
        </w:rPr>
        <w:t>110.4</w:t>
      </w:r>
      <w:r>
        <w:rPr>
          <w:rFonts w:hint="eastAsia" w:ascii="仿宋_GB2312" w:eastAsia="仿宋_GB2312"/>
          <w:b w:val="0"/>
          <w:bCs w:val="0"/>
          <w:highlight w:val="none"/>
        </w:rPr>
        <w:t>亿元，年度投资计划执行率</w:t>
      </w:r>
      <w:r>
        <w:rPr>
          <w:rFonts w:hint="eastAsia" w:ascii="仿宋_GB2312" w:eastAsia="仿宋_GB2312"/>
          <w:b w:val="0"/>
          <w:bCs w:val="0"/>
          <w:highlight w:val="none"/>
          <w:lang w:val="en-US" w:eastAsia="zh-CN"/>
        </w:rPr>
        <w:t>92</w:t>
      </w:r>
      <w:r>
        <w:rPr>
          <w:rFonts w:hint="eastAsia" w:ascii="仿宋_GB2312" w:eastAsia="仿宋_GB2312"/>
          <w:b w:val="0"/>
          <w:bCs w:val="0"/>
          <w:highlight w:val="none"/>
        </w:rPr>
        <w:t>%。</w:t>
      </w:r>
      <w:r>
        <w:rPr>
          <w:rFonts w:hint="eastAsia" w:ascii="仿宋_GB2312" w:hAnsi="黑体" w:eastAsia="仿宋_GB2312"/>
          <w:b w:val="0"/>
          <w:bCs w:val="0"/>
          <w:highlight w:val="none"/>
        </w:rPr>
        <w:t>推进重大投资项目谋划安排，</w:t>
      </w:r>
      <w:r>
        <w:rPr>
          <w:rFonts w:hint="eastAsia" w:ascii="仿宋_GB2312" w:hAnsi="仿宋_GB2312" w:eastAsia="仿宋_GB2312" w:cs="仿宋_GB2312"/>
          <w:b w:val="0"/>
          <w:bCs w:val="0"/>
          <w:highlight w:val="none"/>
        </w:rPr>
        <w:t>储备亿元以上重大投资项目</w:t>
      </w:r>
      <w:r>
        <w:rPr>
          <w:rFonts w:ascii="仿宋_GB2312" w:hAnsi="仿宋_GB2312" w:eastAsia="仿宋_GB2312" w:cs="仿宋_GB2312"/>
          <w:b w:val="0"/>
          <w:bCs w:val="0"/>
          <w:highlight w:val="none"/>
        </w:rPr>
        <w:t>198个</w:t>
      </w:r>
      <w:r>
        <w:rPr>
          <w:rFonts w:hint="eastAsia" w:ascii="仿宋_GB2312" w:hAnsi="仿宋_GB2312" w:eastAsia="仿宋_GB2312" w:cs="仿宋_GB2312"/>
          <w:b w:val="0"/>
          <w:bCs w:val="0"/>
        </w:rPr>
        <w:t>、涉及</w:t>
      </w:r>
      <w:r>
        <w:rPr>
          <w:rFonts w:ascii="仿宋_GB2312" w:hAnsi="仿宋_GB2312" w:eastAsia="仿宋_GB2312" w:cs="仿宋_GB2312"/>
          <w:b w:val="0"/>
          <w:bCs w:val="0"/>
        </w:rPr>
        <w:t>总投资</w:t>
      </w:r>
      <w:r>
        <w:rPr>
          <w:rFonts w:ascii="仿宋_GB2312" w:hAnsi="微软雅黑" w:eastAsia="仿宋_GB2312" w:cs="微软雅黑"/>
          <w:b w:val="0"/>
          <w:bCs w:val="0"/>
        </w:rPr>
        <w:t>2538</w:t>
      </w:r>
      <w:r>
        <w:rPr>
          <w:rFonts w:hint="eastAsia" w:ascii="仿宋_GB2312" w:hAnsi="仿宋_GB2312" w:eastAsia="仿宋_GB2312" w:cs="仿宋_GB2312"/>
          <w:b w:val="0"/>
          <w:bCs w:val="0"/>
        </w:rPr>
        <w:t>亿元。</w:t>
      </w:r>
      <w:r>
        <w:rPr>
          <w:rFonts w:hint="eastAsia" w:ascii="仿宋_GB2312" w:eastAsia="仿宋_GB2312"/>
          <w:b w:val="0"/>
          <w:bCs w:val="0"/>
        </w:rPr>
        <w:t>加强投资要素全方位保障，</w:t>
      </w:r>
      <w:r>
        <w:rPr>
          <w:rFonts w:hint="eastAsia" w:ascii="仿宋_GB2312" w:hAnsi="仿宋_GB2312" w:eastAsia="仿宋_GB2312" w:cs="仿宋_GB2312"/>
          <w:b w:val="0"/>
          <w:bCs w:val="0"/>
        </w:rPr>
        <w:t>完成永丰</w:t>
      </w:r>
      <w:r>
        <w:rPr>
          <w:rFonts w:ascii="仿宋_GB2312" w:hAnsi="仿宋_GB2312" w:eastAsia="仿宋_GB2312" w:cs="仿宋_GB2312"/>
          <w:b w:val="0"/>
          <w:bCs w:val="0"/>
        </w:rPr>
        <w:t>F2地块等13宗、33.17</w:t>
      </w:r>
      <w:r>
        <w:rPr>
          <w:rFonts w:hint="eastAsia" w:ascii="仿宋_GB2312" w:hAnsi="仿宋_GB2312" w:eastAsia="仿宋_GB2312" w:cs="仿宋_GB2312"/>
          <w:b w:val="0"/>
          <w:bCs w:val="0"/>
        </w:rPr>
        <w:t>公顷土地供应</w:t>
      </w:r>
      <w:r>
        <w:rPr>
          <w:rFonts w:hint="eastAsia" w:ascii="仿宋_GB2312" w:hAnsi="黑体" w:eastAsia="仿宋_GB2312"/>
          <w:b w:val="0"/>
          <w:bCs w:val="0"/>
        </w:rPr>
        <w:t>；</w:t>
      </w:r>
      <w:r>
        <w:rPr>
          <w:rFonts w:hint="eastAsia" w:ascii="仿宋_GB2312" w:hAnsi="仿宋_GB2312" w:eastAsia="仿宋_GB2312" w:cs="仿宋_GB2312"/>
          <w:b w:val="0"/>
          <w:bCs w:val="0"/>
        </w:rPr>
        <w:t>用好投融资平台，积极组织区内企业申报</w:t>
      </w:r>
      <w:r>
        <w:rPr>
          <w:rFonts w:hint="eastAsia" w:ascii="仿宋_GB2312" w:hAnsi="仿宋_GB2312" w:eastAsia="仿宋_GB2312"/>
          <w:b w:val="0"/>
          <w:bCs w:val="0"/>
        </w:rPr>
        <w:t>设备购置贷款政策，</w:t>
      </w:r>
      <w:r>
        <w:rPr>
          <w:rFonts w:hint="eastAsia" w:ascii="仿宋_GB2312" w:hAnsi="黑体" w:eastAsia="仿宋_GB2312"/>
          <w:b w:val="0"/>
          <w:bCs w:val="0"/>
        </w:rPr>
        <w:t>为一亩园棚户区改造等</w:t>
      </w:r>
      <w:r>
        <w:rPr>
          <w:rFonts w:ascii="仿宋_GB2312" w:hAnsi="黑体" w:eastAsia="仿宋_GB2312"/>
          <w:b w:val="0"/>
          <w:bCs w:val="0"/>
        </w:rPr>
        <w:t>15个项目发行</w:t>
      </w:r>
      <w:r>
        <w:rPr>
          <w:rFonts w:hint="eastAsia" w:ascii="仿宋_GB2312" w:hAnsi="黑体" w:eastAsia="仿宋_GB2312"/>
          <w:b w:val="0"/>
          <w:bCs w:val="0"/>
        </w:rPr>
        <w:t>地方政府债券</w:t>
      </w:r>
      <w:r>
        <w:rPr>
          <w:rFonts w:ascii="仿宋_GB2312" w:hAnsi="黑体" w:eastAsia="仿宋_GB2312"/>
          <w:b w:val="0"/>
          <w:bCs w:val="0"/>
        </w:rPr>
        <w:t>177.82亿元</w:t>
      </w:r>
      <w:r>
        <w:rPr>
          <w:rFonts w:hint="eastAsia" w:ascii="仿宋_GB2312" w:hAnsi="黑体" w:eastAsia="仿宋_GB2312"/>
          <w:b w:val="0"/>
          <w:bCs w:val="0"/>
        </w:rPr>
        <w:t>，积极推荐稻香湖再生水厂二期等19个项目申报政策性开发性金融工具</w:t>
      </w:r>
      <w:r>
        <w:rPr>
          <w:rFonts w:hint="eastAsia" w:ascii="仿宋_GB2312" w:hAnsi="宋体" w:eastAsia="仿宋_GB2312" w:cs="宋体"/>
          <w:b w:val="0"/>
          <w:bCs w:val="0"/>
        </w:rPr>
        <w:t>，</w:t>
      </w:r>
      <w:r>
        <w:rPr>
          <w:rFonts w:hint="eastAsia" w:ascii="仿宋_GB2312" w:hAnsi="黑体" w:eastAsia="仿宋_GB2312"/>
          <w:b w:val="0"/>
          <w:bCs w:val="0"/>
        </w:rPr>
        <w:t>加快</w:t>
      </w:r>
      <w:r>
        <w:rPr>
          <w:rFonts w:hint="eastAsia" w:ascii="仿宋_GB2312" w:eastAsia="仿宋_GB2312"/>
          <w:b w:val="0"/>
          <w:bCs w:val="0"/>
        </w:rPr>
        <w:t>推进金隅智造工场等</w:t>
      </w:r>
      <w:r>
        <w:rPr>
          <w:rFonts w:ascii="仿宋_GB2312" w:eastAsia="仿宋_GB2312"/>
          <w:b w:val="0"/>
          <w:bCs w:val="0"/>
        </w:rPr>
        <w:t>REITS项目</w:t>
      </w:r>
      <w:r>
        <w:rPr>
          <w:rFonts w:hint="eastAsia" w:ascii="仿宋_GB2312" w:eastAsia="仿宋_GB2312"/>
          <w:b w:val="0"/>
          <w:bCs w:val="0"/>
        </w:rPr>
        <w:t>。服务保障重大项目加快建设，</w:t>
      </w:r>
      <w:r>
        <w:rPr>
          <w:rFonts w:hint="eastAsia" w:ascii="仿宋_GB2312" w:hAnsi="仿宋_GB2312" w:eastAsia="仿宋_GB2312" w:cs="仿宋_GB2312"/>
          <w:b w:val="0"/>
          <w:bCs w:val="0"/>
        </w:rPr>
        <w:t>纳入</w:t>
      </w:r>
      <w:r>
        <w:rPr>
          <w:rFonts w:ascii="仿宋_GB2312" w:hAnsi="仿宋_GB2312" w:eastAsia="仿宋_GB2312" w:cs="仿宋_GB2312"/>
          <w:b w:val="0"/>
          <w:bCs w:val="0"/>
        </w:rPr>
        <w:t>2022年市级“3个100”重点工程的</w:t>
      </w:r>
      <w:r>
        <w:rPr>
          <w:rFonts w:hint="eastAsia" w:ascii="仿宋_GB2312" w:hAnsi="仿宋_GB2312" w:eastAsia="仿宋_GB2312" w:cs="仿宋_GB2312"/>
          <w:b w:val="0"/>
          <w:bCs w:val="0"/>
        </w:rPr>
        <w:t>20</w:t>
      </w:r>
      <w:r>
        <w:rPr>
          <w:rFonts w:ascii="仿宋_GB2312" w:hAnsi="仿宋_GB2312" w:eastAsia="仿宋_GB2312" w:cs="仿宋_GB2312"/>
          <w:b w:val="0"/>
          <w:bCs w:val="0"/>
        </w:rPr>
        <w:t>个项目</w:t>
      </w:r>
      <w:r>
        <w:rPr>
          <w:rFonts w:hint="eastAsia" w:ascii="仿宋_GB2312" w:hAnsi="仿宋_GB2312" w:eastAsia="仿宋_GB2312" w:cs="仿宋_GB2312"/>
          <w:b w:val="0"/>
          <w:bCs w:val="0"/>
        </w:rPr>
        <w:t>全部开工。投资有效性持续增强，全年</w:t>
      </w:r>
      <w:r>
        <w:rPr>
          <w:rFonts w:ascii="仿宋_GB2312" w:hAnsi="仿宋_GB2312" w:eastAsia="仿宋_GB2312" w:cs="仿宋_GB2312"/>
          <w:b w:val="0"/>
          <w:bCs w:val="0"/>
        </w:rPr>
        <w:t>固定资产投资</w:t>
      </w:r>
      <w:r>
        <w:rPr>
          <w:rFonts w:hint="eastAsia" w:ascii="仿宋_GB2312" w:hAnsi="仿宋_GB2312" w:eastAsia="仿宋_GB2312" w:cs="仿宋_GB2312"/>
          <w:b w:val="0"/>
          <w:bCs w:val="0"/>
          <w:lang w:eastAsia="zh-CN"/>
        </w:rPr>
        <w:t>超千亿，预计同比</w:t>
      </w:r>
      <w:r>
        <w:rPr>
          <w:rFonts w:hint="eastAsia" w:ascii="仿宋_GB2312" w:hAnsi="仿宋_GB2312" w:eastAsia="仿宋_GB2312" w:cs="仿宋_GB2312"/>
          <w:b w:val="0"/>
          <w:bCs w:val="0"/>
          <w:lang w:val="en-US" w:eastAsia="zh-CN"/>
        </w:rPr>
        <w:t>增长4.9%</w:t>
      </w:r>
      <w:r>
        <w:rPr>
          <w:rFonts w:hint="eastAsia" w:ascii="仿宋_GB2312" w:hAnsi="仿宋_GB2312" w:eastAsia="仿宋_GB2312" w:cs="仿宋_GB2312"/>
          <w:b w:val="0"/>
          <w:bCs w:val="0"/>
        </w:rPr>
        <w:t>，建安投资和设备购置费占比近50%，</w:t>
      </w:r>
      <w:r>
        <w:rPr>
          <w:rFonts w:hint="eastAsia" w:ascii="仿宋_GB2312" w:eastAsia="仿宋_GB2312"/>
          <w:b w:val="0"/>
          <w:bCs w:val="0"/>
        </w:rPr>
        <w:t>信息业、科研业投资增速超25%，</w:t>
      </w:r>
      <w:r>
        <w:rPr>
          <w:rFonts w:hint="eastAsia" w:ascii="仿宋_GB2312" w:hAnsi="仿宋_GB2312" w:eastAsia="仿宋_GB2312" w:cs="仿宋_GB2312"/>
          <w:b w:val="0"/>
          <w:bCs w:val="0"/>
        </w:rPr>
        <w:t>发挥了对经济的关键支撑作用</w:t>
      </w:r>
      <w:r>
        <w:rPr>
          <w:rFonts w:hint="eastAsia" w:ascii="仿宋_GB2312" w:eastAsia="仿宋_GB2312"/>
          <w:b w:val="0"/>
          <w:bCs w:val="0"/>
        </w:rPr>
        <w:t>。</w:t>
      </w:r>
    </w:p>
    <w:p w14:paraId="7E669016">
      <w:pPr>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专栏2：2022年海淀区政府投资项目进展表</w:t>
      </w:r>
    </w:p>
    <w:tbl>
      <w:tblPr>
        <w:tblStyle w:val="20"/>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2887"/>
        <w:gridCol w:w="4903"/>
      </w:tblGrid>
      <w:tr w14:paraId="43AD525F">
        <w:trPr>
          <w:trHeight w:val="425" w:hRule="atLeast"/>
          <w:tblHeader/>
          <w:jc w:val="center"/>
        </w:trPr>
        <w:tc>
          <w:tcPr>
            <w:tcW w:w="706" w:type="pct"/>
            <w:tcMar>
              <w:top w:w="0" w:type="dxa"/>
              <w:left w:w="57" w:type="dxa"/>
              <w:bottom w:w="0" w:type="dxa"/>
              <w:right w:w="57" w:type="dxa"/>
            </w:tcMar>
            <w:vAlign w:val="center"/>
          </w:tcPr>
          <w:p w14:paraId="064DB2F5">
            <w:pPr>
              <w:widowControl/>
              <w:jc w:val="center"/>
              <w:rPr>
                <w:rFonts w:hint="eastAsia" w:ascii="黑体" w:hAnsi="黑体" w:eastAsia="黑体" w:cs="黑体"/>
                <w:b w:val="0"/>
                <w:bCs w:val="0"/>
                <w:sz w:val="22"/>
              </w:rPr>
            </w:pPr>
            <w:r>
              <w:rPr>
                <w:rFonts w:hint="eastAsia" w:ascii="黑体" w:hAnsi="黑体" w:eastAsia="黑体" w:cs="黑体"/>
                <w:b w:val="0"/>
                <w:bCs w:val="0"/>
                <w:sz w:val="22"/>
              </w:rPr>
              <w:t>项目类别</w:t>
            </w:r>
          </w:p>
        </w:tc>
        <w:tc>
          <w:tcPr>
            <w:tcW w:w="1591" w:type="pct"/>
            <w:tcMar>
              <w:top w:w="0" w:type="dxa"/>
              <w:left w:w="57" w:type="dxa"/>
              <w:bottom w:w="0" w:type="dxa"/>
              <w:right w:w="57" w:type="dxa"/>
            </w:tcMar>
            <w:vAlign w:val="center"/>
          </w:tcPr>
          <w:p w14:paraId="0665EAC7">
            <w:pPr>
              <w:widowControl/>
              <w:jc w:val="center"/>
              <w:rPr>
                <w:rFonts w:hint="eastAsia" w:ascii="黑体" w:hAnsi="黑体" w:eastAsia="黑体" w:cs="黑体"/>
                <w:b w:val="0"/>
                <w:bCs w:val="0"/>
                <w:sz w:val="22"/>
              </w:rPr>
            </w:pPr>
            <w:r>
              <w:rPr>
                <w:rFonts w:hint="eastAsia" w:ascii="黑体" w:hAnsi="黑体" w:eastAsia="黑体" w:cs="黑体"/>
                <w:b w:val="0"/>
                <w:bCs w:val="0"/>
                <w:sz w:val="22"/>
              </w:rPr>
              <w:t>计划安排</w:t>
            </w:r>
          </w:p>
        </w:tc>
        <w:tc>
          <w:tcPr>
            <w:tcW w:w="2702" w:type="pct"/>
            <w:tcMar>
              <w:top w:w="0" w:type="dxa"/>
              <w:left w:w="57" w:type="dxa"/>
              <w:bottom w:w="0" w:type="dxa"/>
              <w:right w:w="57" w:type="dxa"/>
            </w:tcMar>
            <w:vAlign w:val="center"/>
          </w:tcPr>
          <w:p w14:paraId="09134584">
            <w:pPr>
              <w:widowControl/>
              <w:jc w:val="center"/>
              <w:rPr>
                <w:rFonts w:hint="eastAsia" w:ascii="黑体" w:hAnsi="黑体" w:eastAsia="黑体" w:cs="黑体"/>
                <w:b w:val="0"/>
                <w:bCs w:val="0"/>
                <w:sz w:val="22"/>
              </w:rPr>
            </w:pPr>
            <w:r>
              <w:rPr>
                <w:rFonts w:hint="eastAsia" w:ascii="黑体" w:hAnsi="黑体" w:eastAsia="黑体" w:cs="黑体"/>
                <w:b w:val="0"/>
                <w:bCs w:val="0"/>
                <w:sz w:val="22"/>
              </w:rPr>
              <w:t>工作进展</w:t>
            </w:r>
          </w:p>
        </w:tc>
      </w:tr>
      <w:tr w14:paraId="0DF98803">
        <w:trPr>
          <w:trHeight w:val="2418" w:hRule="atLeast"/>
          <w:jc w:val="center"/>
        </w:trPr>
        <w:tc>
          <w:tcPr>
            <w:tcW w:w="706" w:type="pct"/>
            <w:tcMar>
              <w:top w:w="0" w:type="dxa"/>
              <w:left w:w="57" w:type="dxa"/>
              <w:bottom w:w="0" w:type="dxa"/>
              <w:right w:w="57" w:type="dxa"/>
            </w:tcMar>
            <w:vAlign w:val="center"/>
          </w:tcPr>
          <w:p w14:paraId="5CAE6DE2">
            <w:pPr>
              <w:jc w:val="center"/>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环境治理类（77项）</w:t>
            </w:r>
          </w:p>
        </w:tc>
        <w:tc>
          <w:tcPr>
            <w:tcW w:w="1591" w:type="pct"/>
            <w:tcMar>
              <w:top w:w="0" w:type="dxa"/>
              <w:left w:w="57" w:type="dxa"/>
              <w:bottom w:w="0" w:type="dxa"/>
              <w:right w:w="57" w:type="dxa"/>
            </w:tcMar>
            <w:vAlign w:val="center"/>
          </w:tcPr>
          <w:p w14:paraId="6EA426AF">
            <w:pPr>
              <w:pStyle w:val="42"/>
              <w:adjustRightInd w:val="0"/>
              <w:snapToGrid w:val="0"/>
              <w:ind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区级总投资174.3亿元。包含城市绿化景观类项目25项，水利设施类项目29项，环境整治类项目16项，资源环境类7项。</w:t>
            </w:r>
          </w:p>
        </w:tc>
        <w:tc>
          <w:tcPr>
            <w:tcW w:w="2702" w:type="pct"/>
            <w:tcMar>
              <w:top w:w="0" w:type="dxa"/>
              <w:left w:w="57" w:type="dxa"/>
              <w:bottom w:w="0" w:type="dxa"/>
              <w:right w:w="57" w:type="dxa"/>
            </w:tcMar>
            <w:vAlign w:val="center"/>
          </w:tcPr>
          <w:p w14:paraId="1F748763">
            <w:pPr>
              <w:pStyle w:val="42"/>
              <w:numPr>
                <w:ilvl w:val="0"/>
                <w:numId w:val="5"/>
              </w:numPr>
              <w:adjustRightInd w:val="0"/>
              <w:snapToGrid w:val="0"/>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美丽乡村环境治理打包项目加快实施。</w:t>
            </w:r>
          </w:p>
          <w:p w14:paraId="5193C459">
            <w:pPr>
              <w:pStyle w:val="42"/>
              <w:numPr>
                <w:ilvl w:val="0"/>
                <w:numId w:val="5"/>
              </w:numPr>
              <w:adjustRightInd w:val="0"/>
              <w:snapToGrid w:val="0"/>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园外园生态环境提升、小米移动互联网产业园项目代征地等重点区域园林绿化项目实施完成。</w:t>
            </w:r>
          </w:p>
          <w:p w14:paraId="0BB9C9A3">
            <w:pPr>
              <w:pStyle w:val="42"/>
              <w:numPr>
                <w:ilvl w:val="0"/>
                <w:numId w:val="5"/>
              </w:numPr>
              <w:adjustRightInd w:val="0"/>
              <w:snapToGrid w:val="0"/>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万泉河生态治理、北旱河生态景观提升工程持续推进。</w:t>
            </w:r>
          </w:p>
          <w:p w14:paraId="1C46AF39">
            <w:pPr>
              <w:pStyle w:val="42"/>
              <w:numPr>
                <w:ilvl w:val="0"/>
                <w:numId w:val="5"/>
              </w:numPr>
              <w:adjustRightInd w:val="0"/>
              <w:snapToGrid w:val="0"/>
              <w:ind w:left="0"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北清路中水管线工程、四季青北辛庄排洪沟（二期）综合治理项目等进入收尾阶段。</w:t>
            </w:r>
          </w:p>
        </w:tc>
      </w:tr>
      <w:tr w14:paraId="424D6437">
        <w:trPr>
          <w:trHeight w:val="454" w:hRule="atLeast"/>
          <w:jc w:val="center"/>
        </w:trPr>
        <w:tc>
          <w:tcPr>
            <w:tcW w:w="706" w:type="pct"/>
            <w:tcMar>
              <w:top w:w="0" w:type="dxa"/>
              <w:left w:w="57" w:type="dxa"/>
              <w:bottom w:w="0" w:type="dxa"/>
              <w:right w:w="57" w:type="dxa"/>
            </w:tcMar>
            <w:vAlign w:val="center"/>
          </w:tcPr>
          <w:p w14:paraId="09729AE9">
            <w:pPr>
              <w:jc w:val="center"/>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社会事业类（57项）</w:t>
            </w:r>
          </w:p>
        </w:tc>
        <w:tc>
          <w:tcPr>
            <w:tcW w:w="1591" w:type="pct"/>
            <w:tcMar>
              <w:top w:w="0" w:type="dxa"/>
              <w:left w:w="57" w:type="dxa"/>
              <w:bottom w:w="0" w:type="dxa"/>
              <w:right w:w="57" w:type="dxa"/>
            </w:tcMar>
            <w:vAlign w:val="center"/>
          </w:tcPr>
          <w:p w14:paraId="688C8D92">
            <w:pPr>
              <w:pStyle w:val="42"/>
              <w:keepNext w:val="0"/>
              <w:keepLines w:val="0"/>
              <w:pageBreakBefore w:val="0"/>
              <w:widowControl w:val="0"/>
              <w:kinsoku/>
              <w:wordWrap/>
              <w:overflowPunct/>
              <w:topLinePunct w:val="0"/>
              <w:autoSpaceDE/>
              <w:autoSpaceDN/>
              <w:bidi w:val="0"/>
              <w:adjustRightInd w:val="0"/>
              <w:snapToGrid w:val="0"/>
              <w:spacing w:line="290" w:lineRule="exact"/>
              <w:ind w:firstLine="0" w:firstLineChars="0"/>
              <w:jc w:val="both"/>
              <w:textAlignment w:val="auto"/>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区级总投资115.9亿元。包含教育类32项，卫生类9项，社会服务类15项，电力配套资金1项。</w:t>
            </w:r>
          </w:p>
        </w:tc>
        <w:tc>
          <w:tcPr>
            <w:tcW w:w="2702" w:type="pct"/>
            <w:tcMar>
              <w:top w:w="0" w:type="dxa"/>
              <w:left w:w="57" w:type="dxa"/>
              <w:bottom w:w="0" w:type="dxa"/>
              <w:right w:w="57" w:type="dxa"/>
            </w:tcMar>
            <w:vAlign w:val="center"/>
          </w:tcPr>
          <w:p w14:paraId="194522AD">
            <w:pPr>
              <w:pStyle w:val="42"/>
              <w:keepNext w:val="0"/>
              <w:keepLines w:val="0"/>
              <w:pageBreakBefore w:val="0"/>
              <w:widowControl w:val="0"/>
              <w:numPr>
                <w:ilvl w:val="0"/>
                <w:numId w:val="5"/>
              </w:numPr>
              <w:kinsoku/>
              <w:wordWrap/>
              <w:overflowPunct/>
              <w:topLinePunct w:val="0"/>
              <w:autoSpaceDE/>
              <w:autoSpaceDN/>
              <w:bidi w:val="0"/>
              <w:adjustRightInd w:val="0"/>
              <w:snapToGrid w:val="0"/>
              <w:spacing w:line="290" w:lineRule="exact"/>
              <w:ind w:left="0" w:firstLine="0" w:firstLineChars="0"/>
              <w:jc w:val="both"/>
              <w:textAlignment w:val="auto"/>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北安河九年一贯制学校、实验小学紫竹院校区改扩建等10项新建改扩建项目完工交付学校；48个学校操场已完成修缮工程。</w:t>
            </w:r>
          </w:p>
          <w:p w14:paraId="51E1C678">
            <w:pPr>
              <w:pStyle w:val="42"/>
              <w:keepNext w:val="0"/>
              <w:keepLines w:val="0"/>
              <w:pageBreakBefore w:val="0"/>
              <w:widowControl w:val="0"/>
              <w:numPr>
                <w:ilvl w:val="0"/>
                <w:numId w:val="5"/>
              </w:numPr>
              <w:kinsoku/>
              <w:wordWrap/>
              <w:overflowPunct/>
              <w:topLinePunct w:val="0"/>
              <w:autoSpaceDE/>
              <w:autoSpaceDN/>
              <w:bidi w:val="0"/>
              <w:adjustRightInd w:val="0"/>
              <w:snapToGrid w:val="0"/>
              <w:spacing w:line="290" w:lineRule="exact"/>
              <w:ind w:left="0" w:firstLine="0" w:firstLineChars="0"/>
              <w:jc w:val="both"/>
              <w:textAlignment w:val="auto"/>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10个卫生服务站投入使用；海淀医院建设项目和中西医结合医院建设项目均已投入使用，海淀妇幼项目已启动搬家事宜，中关村医院和羊坊店医院均在进行竣工结算。</w:t>
            </w:r>
          </w:p>
        </w:tc>
      </w:tr>
      <w:tr w14:paraId="494979B7">
        <w:trPr>
          <w:trHeight w:val="454" w:hRule="atLeast"/>
          <w:jc w:val="center"/>
        </w:trPr>
        <w:tc>
          <w:tcPr>
            <w:tcW w:w="706" w:type="pct"/>
            <w:tcMar>
              <w:top w:w="0" w:type="dxa"/>
              <w:left w:w="57" w:type="dxa"/>
              <w:bottom w:w="0" w:type="dxa"/>
              <w:right w:w="57" w:type="dxa"/>
            </w:tcMar>
            <w:vAlign w:val="center"/>
          </w:tcPr>
          <w:p w14:paraId="1B4168C9">
            <w:pPr>
              <w:jc w:val="center"/>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交通基础设施类</w:t>
            </w:r>
          </w:p>
          <w:p w14:paraId="539413BC">
            <w:pPr>
              <w:jc w:val="center"/>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（50项）</w:t>
            </w:r>
          </w:p>
        </w:tc>
        <w:tc>
          <w:tcPr>
            <w:tcW w:w="1591" w:type="pct"/>
            <w:tcMar>
              <w:top w:w="0" w:type="dxa"/>
              <w:left w:w="57" w:type="dxa"/>
              <w:bottom w:w="0" w:type="dxa"/>
              <w:right w:w="57" w:type="dxa"/>
            </w:tcMar>
            <w:vAlign w:val="center"/>
          </w:tcPr>
          <w:p w14:paraId="48CBDD4D">
            <w:pPr>
              <w:pStyle w:val="42"/>
              <w:keepNext w:val="0"/>
              <w:keepLines w:val="0"/>
              <w:pageBreakBefore w:val="0"/>
              <w:widowControl w:val="0"/>
              <w:kinsoku/>
              <w:wordWrap/>
              <w:overflowPunct/>
              <w:topLinePunct w:val="0"/>
              <w:autoSpaceDE/>
              <w:autoSpaceDN/>
              <w:bidi w:val="0"/>
              <w:adjustRightInd w:val="0"/>
              <w:snapToGrid w:val="0"/>
              <w:spacing w:line="290" w:lineRule="exact"/>
              <w:ind w:firstLine="0" w:firstLineChars="0"/>
              <w:jc w:val="both"/>
              <w:textAlignment w:val="auto"/>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区级总投资56.1亿元。包含配合市级重点项目拆迁4项，南部路网加密及疏堵类项目35项，科学城北部地区路网及园区道路建设11项。</w:t>
            </w:r>
          </w:p>
        </w:tc>
        <w:tc>
          <w:tcPr>
            <w:tcW w:w="2702" w:type="pct"/>
            <w:tcMar>
              <w:top w:w="0" w:type="dxa"/>
              <w:left w:w="57" w:type="dxa"/>
              <w:bottom w:w="0" w:type="dxa"/>
              <w:right w:w="57" w:type="dxa"/>
            </w:tcMar>
            <w:vAlign w:val="center"/>
          </w:tcPr>
          <w:p w14:paraId="03B22FD7">
            <w:pPr>
              <w:pStyle w:val="42"/>
              <w:keepNext w:val="0"/>
              <w:keepLines w:val="0"/>
              <w:pageBreakBefore w:val="0"/>
              <w:widowControl w:val="0"/>
              <w:numPr>
                <w:ilvl w:val="0"/>
                <w:numId w:val="5"/>
              </w:numPr>
              <w:kinsoku/>
              <w:wordWrap/>
              <w:overflowPunct/>
              <w:topLinePunct w:val="0"/>
              <w:autoSpaceDE/>
              <w:autoSpaceDN/>
              <w:bidi w:val="0"/>
              <w:adjustRightInd w:val="0"/>
              <w:snapToGrid w:val="0"/>
              <w:spacing w:line="290" w:lineRule="exact"/>
              <w:ind w:left="0" w:firstLine="0" w:firstLineChars="0"/>
              <w:jc w:val="both"/>
              <w:textAlignment w:val="auto"/>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巴沟路贯成通车，12条道路大中修及疏堵工程完工，香泉南路、巨山路等南部重点道路加快建设，稻香园中路、稻香园南街等北部道路开工建设。</w:t>
            </w:r>
          </w:p>
        </w:tc>
      </w:tr>
      <w:tr w14:paraId="7AC04659">
        <w:trPr>
          <w:trHeight w:val="411" w:hRule="atLeast"/>
          <w:jc w:val="center"/>
        </w:trPr>
        <w:tc>
          <w:tcPr>
            <w:tcW w:w="706" w:type="pct"/>
            <w:tcMar>
              <w:top w:w="0" w:type="dxa"/>
              <w:left w:w="57" w:type="dxa"/>
              <w:bottom w:w="0" w:type="dxa"/>
              <w:right w:w="57" w:type="dxa"/>
            </w:tcMar>
            <w:vAlign w:val="center"/>
          </w:tcPr>
          <w:p w14:paraId="5F10FCBD">
            <w:pPr>
              <w:jc w:val="center"/>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其他（9项）</w:t>
            </w:r>
          </w:p>
        </w:tc>
        <w:tc>
          <w:tcPr>
            <w:tcW w:w="1591" w:type="pct"/>
            <w:tcMar>
              <w:top w:w="0" w:type="dxa"/>
              <w:left w:w="57" w:type="dxa"/>
              <w:bottom w:w="0" w:type="dxa"/>
              <w:right w:w="57" w:type="dxa"/>
            </w:tcMar>
            <w:vAlign w:val="center"/>
          </w:tcPr>
          <w:p w14:paraId="473FF612">
            <w:pPr>
              <w:pStyle w:val="42"/>
              <w:adjustRightInd w:val="0"/>
              <w:snapToGrid w:val="0"/>
              <w:ind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预留资金7项，其他2项</w:t>
            </w:r>
          </w:p>
        </w:tc>
        <w:tc>
          <w:tcPr>
            <w:tcW w:w="2702" w:type="pct"/>
            <w:tcMar>
              <w:top w:w="0" w:type="dxa"/>
              <w:left w:w="57" w:type="dxa"/>
              <w:bottom w:w="0" w:type="dxa"/>
              <w:right w:w="57" w:type="dxa"/>
            </w:tcMar>
            <w:vAlign w:val="center"/>
          </w:tcPr>
          <w:p w14:paraId="72E13C07">
            <w:pPr>
              <w:pStyle w:val="42"/>
              <w:adjustRightInd w:val="0"/>
              <w:snapToGrid w:val="0"/>
              <w:ind w:firstLine="0" w:firstLineChars="0"/>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w:t>
            </w:r>
          </w:p>
        </w:tc>
      </w:tr>
    </w:tbl>
    <w:p w14:paraId="15D043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消费环境不断优化。完善国际消费中心城市建设统计监测指标体系。持续提升区域商业品质，编制“7+2”商圈</w:t>
      </w:r>
      <w:r>
        <w:rPr>
          <w:rStyle w:val="26"/>
          <w:rFonts w:hint="eastAsia" w:ascii="仿宋_GB2312" w:hAnsi="仿宋_GB2312" w:eastAsia="仿宋_GB2312" w:cs="仿宋_GB2312"/>
          <w:b w:val="0"/>
          <w:bCs w:val="0"/>
          <w:sz w:val="32"/>
          <w:szCs w:val="32"/>
        </w:rPr>
        <w:footnoteReference w:id="0"/>
      </w:r>
      <w:r>
        <w:rPr>
          <w:rFonts w:hint="eastAsia" w:ascii="仿宋_GB2312" w:hAnsi="仿宋_GB2312" w:eastAsia="仿宋_GB2312" w:cs="仿宋_GB2312"/>
          <w:b w:val="0"/>
          <w:bCs w:val="0"/>
          <w:sz w:val="32"/>
          <w:szCs w:val="32"/>
        </w:rPr>
        <w:t>“一圈一策”</w:t>
      </w:r>
      <w:r>
        <w:rPr>
          <w:rFonts w:ascii="仿宋_GB2312" w:hAnsi="仿宋" w:eastAsia="仿宋_GB2312"/>
          <w:b w:val="0"/>
          <w:bCs w:val="0"/>
          <w:sz w:val="32"/>
          <w:szCs w:val="32"/>
        </w:rPr>
        <w:t>发展规划方案，</w:t>
      </w:r>
      <w:r>
        <w:rPr>
          <w:rFonts w:hint="eastAsia" w:ascii="仿宋_GB2312" w:hAnsi="仿宋" w:eastAsia="仿宋_GB2312"/>
          <w:b w:val="0"/>
          <w:bCs w:val="0"/>
          <w:sz w:val="32"/>
          <w:szCs w:val="32"/>
        </w:rPr>
        <w:t>加快推进五棵松商圈数字化升级，培育华熙</w:t>
      </w:r>
      <w:r>
        <w:rPr>
          <w:rFonts w:ascii="仿宋_GB2312" w:hAnsi="仿宋" w:eastAsia="仿宋_GB2312"/>
          <w:b w:val="0"/>
          <w:bCs w:val="0"/>
          <w:sz w:val="32"/>
          <w:szCs w:val="32"/>
        </w:rPr>
        <w:t>LIVE等多元业态网红打卡地</w:t>
      </w:r>
      <w:r>
        <w:rPr>
          <w:rFonts w:hint="eastAsia" w:ascii="仿宋_GB2312" w:hAnsi="仿宋" w:eastAsia="仿宋_GB2312"/>
          <w:b w:val="0"/>
          <w:bCs w:val="0"/>
          <w:sz w:val="32"/>
          <w:szCs w:val="32"/>
        </w:rPr>
        <w:t>。</w:t>
      </w:r>
      <w:r>
        <w:rPr>
          <w:rFonts w:hint="eastAsia" w:ascii="仿宋_GB2312" w:hAnsi="仿宋_GB2312" w:eastAsia="仿宋_GB2312" w:cs="仿宋_GB2312"/>
          <w:b w:val="0"/>
          <w:bCs w:val="0"/>
          <w:sz w:val="32"/>
          <w:szCs w:val="32"/>
        </w:rPr>
        <w:t>积极推进中粮大悦城、西北旺万象汇、西三旗万象汇等重点商业设施建设，引进各类首店31家。开创嘻番里“沉浸式”互动体验商业模式，实现麦德龙</w:t>
      </w:r>
      <w:r>
        <w:rPr>
          <w:rFonts w:ascii="仿宋_GB2312" w:hAnsi="仿宋_GB2312" w:eastAsia="仿宋_GB2312" w:cs="仿宋_GB2312"/>
          <w:b w:val="0"/>
          <w:bCs w:val="0"/>
          <w:sz w:val="32"/>
          <w:szCs w:val="32"/>
        </w:rPr>
        <w:t>PLUS店开业</w:t>
      </w:r>
      <w:r>
        <w:rPr>
          <w:rFonts w:hint="eastAsia" w:ascii="仿宋_GB2312" w:hAnsi="仿宋_GB2312" w:eastAsia="仿宋_GB2312" w:cs="仿宋_GB2312"/>
          <w:b w:val="0"/>
          <w:bCs w:val="0"/>
          <w:sz w:val="32"/>
          <w:szCs w:val="32"/>
        </w:rPr>
        <w:t>。新建</w:t>
      </w:r>
      <w:r>
        <w:rPr>
          <w:rFonts w:ascii="仿宋_GB2312" w:hAnsi="仿宋_GB2312" w:eastAsia="仿宋_GB2312" w:cs="仿宋_GB2312"/>
          <w:b w:val="0"/>
          <w:bCs w:val="0"/>
          <w:sz w:val="32"/>
          <w:szCs w:val="32"/>
        </w:rPr>
        <w:t>50个早餐、便利店等便民服务网点</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云和市集、车客家园、五道口市场完成“一场一策”升级改造，</w:t>
      </w:r>
      <w:r>
        <w:rPr>
          <w:rFonts w:hint="eastAsia" w:ascii="仿宋_GB2312" w:hAnsi="仿宋" w:eastAsia="仿宋_GB2312"/>
          <w:b w:val="0"/>
          <w:bCs w:val="0"/>
          <w:spacing w:val="-6"/>
          <w:sz w:val="32"/>
          <w:szCs w:val="32"/>
        </w:rPr>
        <w:t>举办“悦动海淀”系列促消费活动</w:t>
      </w:r>
      <w:r>
        <w:rPr>
          <w:rFonts w:hint="eastAsia" w:ascii="仿宋_GB2312" w:hAnsi="仿宋_GB2312" w:eastAsia="仿宋_GB2312" w:cs="仿宋_GB2312"/>
          <w:b w:val="0"/>
          <w:bCs w:val="0"/>
          <w:spacing w:val="-6"/>
          <w:sz w:val="32"/>
          <w:szCs w:val="32"/>
        </w:rPr>
        <w:t>，拉动区域消费市场繁荣发展。</w:t>
      </w:r>
    </w:p>
    <w:p w14:paraId="5E15880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b w:val="0"/>
          <w:bCs w:val="0"/>
          <w:sz w:val="32"/>
          <w:szCs w:val="32"/>
        </w:rPr>
      </w:pPr>
      <w:r>
        <w:rPr>
          <w:rFonts w:hint="eastAsia" w:ascii="仿宋_GB2312" w:hAnsi="Calibri" w:eastAsia="仿宋_GB2312"/>
          <w:b w:val="0"/>
          <w:bCs w:val="0"/>
          <w:sz w:val="32"/>
          <w:szCs w:val="32"/>
        </w:rPr>
        <w:t>外资外贸稳量提质。</w:t>
      </w:r>
      <w:r>
        <w:rPr>
          <w:rFonts w:hint="eastAsia" w:ascii="仿宋_GB2312" w:hAnsi="仿宋_GB2312" w:eastAsia="仿宋_GB2312" w:cs="仿宋_GB2312"/>
          <w:b w:val="0"/>
          <w:bCs w:val="0"/>
          <w:sz w:val="32"/>
          <w:szCs w:val="32"/>
        </w:rPr>
        <w:t>举办海淀之夜、数字贸易发展论坛，</w:t>
      </w:r>
      <w:r>
        <w:rPr>
          <w:rFonts w:hint="eastAsia" w:ascii="仿宋_GB2312" w:hAnsi="仿宋" w:eastAsia="仿宋_GB2312"/>
          <w:b w:val="0"/>
          <w:bCs w:val="0"/>
          <w:sz w:val="32"/>
          <w:szCs w:val="32"/>
        </w:rPr>
        <w:t>组织企业参加海外展会，搭建国际合作平台，支持科技企业开展跨境合作。</w:t>
      </w:r>
      <w:r>
        <w:rPr>
          <w:rFonts w:hint="eastAsia" w:ascii="仿宋_GB2312" w:hAnsi="仿宋_GB2312" w:eastAsia="仿宋_GB2312" w:cs="仿宋_GB2312"/>
          <w:b w:val="0"/>
          <w:bCs w:val="0"/>
          <w:sz w:val="32"/>
          <w:szCs w:val="32"/>
          <w:lang w:val="zh-TW"/>
        </w:rPr>
        <w:t>推动英特尔、理光软件等8家企业获评2022年度第一批北京市外资研发中心</w:t>
      </w:r>
      <w:r>
        <w:rPr>
          <w:rFonts w:hint="eastAsia" w:ascii="仿宋_GB2312" w:hAnsi="仿宋" w:eastAsia="仿宋_GB2312"/>
          <w:b w:val="0"/>
          <w:bCs w:val="0"/>
          <w:sz w:val="32"/>
          <w:szCs w:val="32"/>
        </w:rPr>
        <w:t>。建立</w:t>
      </w:r>
      <w:r>
        <w:rPr>
          <w:rFonts w:hint="eastAsia" w:ascii="仿宋_GB2312" w:hAnsi="仿宋_GB2312" w:eastAsia="仿宋_GB2312" w:cs="仿宋_GB2312"/>
          <w:b w:val="0"/>
          <w:bCs w:val="0"/>
          <w:sz w:val="32"/>
          <w:szCs w:val="32"/>
        </w:rPr>
        <w:t>外资大项目调度机制，持续跟踪服务</w:t>
      </w:r>
      <w:r>
        <w:rPr>
          <w:rFonts w:ascii="仿宋_GB2312" w:hAnsi="仿宋_GB2312" w:eastAsia="仿宋_GB2312" w:cs="仿宋_GB2312"/>
          <w:b w:val="0"/>
          <w:bCs w:val="0"/>
          <w:sz w:val="32"/>
          <w:szCs w:val="32"/>
        </w:rPr>
        <w:t>206</w:t>
      </w:r>
      <w:r>
        <w:rPr>
          <w:rFonts w:hint="eastAsia" w:ascii="仿宋_GB2312" w:hAnsi="仿宋_GB2312" w:eastAsia="仿宋_GB2312" w:cs="仿宋_GB2312"/>
          <w:b w:val="0"/>
          <w:bCs w:val="0"/>
          <w:sz w:val="32"/>
          <w:szCs w:val="32"/>
        </w:rPr>
        <w:t>个</w:t>
      </w:r>
      <w:r>
        <w:rPr>
          <w:rFonts w:ascii="仿宋_GB2312" w:hAnsi="仿宋_GB2312" w:eastAsia="仿宋_GB2312" w:cs="仿宋_GB2312"/>
          <w:b w:val="0"/>
          <w:bCs w:val="0"/>
          <w:sz w:val="32"/>
          <w:szCs w:val="32"/>
        </w:rPr>
        <w:t>合同外资1000万美元以上的外资项目</w:t>
      </w:r>
      <w:r>
        <w:rPr>
          <w:rFonts w:hint="eastAsia" w:ascii="仿宋_GB2312" w:hAnsi="仿宋_GB2312" w:eastAsia="仿宋_GB2312" w:cs="仿宋_GB2312"/>
          <w:b w:val="0"/>
          <w:bCs w:val="0"/>
          <w:sz w:val="32"/>
          <w:szCs w:val="32"/>
        </w:rPr>
        <w:t>。</w:t>
      </w:r>
      <w:r>
        <w:rPr>
          <w:rFonts w:ascii="仿宋_GB2312" w:hAnsi="仿宋" w:eastAsia="仿宋_GB2312"/>
          <w:b w:val="0"/>
          <w:bCs w:val="0"/>
          <w:sz w:val="32"/>
          <w:szCs w:val="32"/>
        </w:rPr>
        <w:t>海淀区</w:t>
      </w:r>
      <w:r>
        <w:rPr>
          <w:rFonts w:hint="eastAsia" w:ascii="仿宋_GB2312" w:hAnsi="Courier New" w:eastAsia="仿宋_GB2312"/>
          <w:b w:val="0"/>
          <w:bCs w:val="0"/>
          <w:snapToGrid w:val="0"/>
          <w:sz w:val="32"/>
          <w:szCs w:val="32"/>
        </w:rPr>
        <w:t>新设外商投资企业285家，全年实际利用外资63.7亿美元，占全市37.1%，超额完成全年62亿美元的计划任务；</w:t>
      </w:r>
      <w:r>
        <w:rPr>
          <w:rFonts w:ascii="仿宋_GB2312" w:hAnsi="仿宋" w:eastAsia="仿宋_GB2312"/>
          <w:b w:val="0"/>
          <w:bCs w:val="0"/>
          <w:sz w:val="32"/>
          <w:szCs w:val="32"/>
        </w:rPr>
        <w:t>出口额</w:t>
      </w:r>
      <w:r>
        <w:rPr>
          <w:rFonts w:hint="eastAsia" w:ascii="仿宋_GB2312" w:hAnsi="仿宋" w:eastAsia="仿宋_GB2312"/>
          <w:b w:val="0"/>
          <w:bCs w:val="0"/>
          <w:sz w:val="32"/>
          <w:szCs w:val="32"/>
        </w:rPr>
        <w:t>1500</w:t>
      </w:r>
      <w:r>
        <w:rPr>
          <w:rFonts w:ascii="仿宋_GB2312" w:hAnsi="仿宋" w:eastAsia="仿宋_GB2312"/>
          <w:b w:val="0"/>
          <w:bCs w:val="0"/>
          <w:sz w:val="32"/>
          <w:szCs w:val="32"/>
        </w:rPr>
        <w:t>亿元左右，占全市</w:t>
      </w:r>
      <w:r>
        <w:rPr>
          <w:rFonts w:hint="eastAsia" w:ascii="仿宋_GB2312" w:hAnsi="仿宋" w:eastAsia="仿宋_GB2312"/>
          <w:b w:val="0"/>
          <w:bCs w:val="0"/>
          <w:sz w:val="32"/>
          <w:szCs w:val="32"/>
        </w:rPr>
        <w:t>约四</w:t>
      </w:r>
      <w:r>
        <w:rPr>
          <w:rFonts w:ascii="仿宋_GB2312" w:hAnsi="仿宋" w:eastAsia="仿宋_GB2312"/>
          <w:b w:val="0"/>
          <w:bCs w:val="0"/>
          <w:sz w:val="32"/>
          <w:szCs w:val="32"/>
        </w:rPr>
        <w:t>分之一。</w:t>
      </w:r>
    </w:p>
    <w:p w14:paraId="7B24F7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 w:eastAsia="仿宋_GB2312"/>
          <w:b w:val="0"/>
          <w:bCs w:val="0"/>
          <w:sz w:val="32"/>
          <w:szCs w:val="32"/>
        </w:rPr>
      </w:pPr>
      <w:r>
        <w:rPr>
          <w:rFonts w:hint="eastAsia" w:ascii="仿宋_GB2312" w:hAnsi="宋体" w:eastAsia="仿宋_GB2312"/>
          <w:b w:val="0"/>
          <w:bCs w:val="0"/>
          <w:sz w:val="32"/>
          <w:szCs w:val="32"/>
        </w:rPr>
        <w:t>“两区”建设取得新成效。</w:t>
      </w:r>
      <w:r>
        <w:rPr>
          <w:rFonts w:hint="eastAsia" w:ascii="仿宋_GB2312" w:hAnsi="仿宋_GB2312" w:eastAsia="仿宋_GB2312" w:cs="仿宋_GB2312"/>
          <w:b w:val="0"/>
          <w:bCs w:val="0"/>
          <w:sz w:val="32"/>
          <w:szCs w:val="32"/>
        </w:rPr>
        <w:t>统筹项目推进机制，搭建“六单”管理平台</w:t>
      </w:r>
      <w:r>
        <w:rPr>
          <w:rFonts w:ascii="仿宋_GB2312" w:hAnsi="仿宋_GB2312" w:eastAsia="仿宋_GB2312" w:cs="仿宋_GB2312"/>
          <w:b w:val="0"/>
          <w:bCs w:val="0"/>
          <w:sz w:val="32"/>
          <w:szCs w:val="32"/>
          <w:vertAlign w:val="superscript"/>
        </w:rPr>
        <w:footnoteReference w:id="1"/>
      </w:r>
      <w:r>
        <w:rPr>
          <w:rFonts w:hint="eastAsia" w:ascii="仿宋_GB2312" w:hAnsi="仿宋_GB2312" w:eastAsia="仿宋_GB2312" w:cs="仿宋_GB2312"/>
          <w:b w:val="0"/>
          <w:bCs w:val="0"/>
          <w:sz w:val="32"/>
          <w:szCs w:val="32"/>
        </w:rPr>
        <w:t>，优化重大项目入库管理，新增两区项目63</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个，其中外资项目12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个，位列全市第一</w:t>
      </w:r>
      <w:r>
        <w:rPr>
          <w:rFonts w:ascii="仿宋_GB2312" w:hAnsi="仿宋_GB2312" w:eastAsia="仿宋_GB2312" w:cs="仿宋_GB2312"/>
          <w:b w:val="0"/>
          <w:bCs w:val="0"/>
          <w:sz w:val="32"/>
          <w:szCs w:val="32"/>
        </w:rPr>
        <w:t>。实现政策创新突破，出台区级“两区”建设实施方案和海淀组团发展建设三年行动方案，提出149项制度创新和60项任务措施</w:t>
      </w:r>
      <w:r>
        <w:rPr>
          <w:rFonts w:hint="eastAsia" w:ascii="仿宋_GB2312" w:hAnsi="仿宋_GB2312" w:eastAsia="仿宋_GB2312" w:cs="仿宋_GB2312"/>
          <w:b w:val="0"/>
          <w:bCs w:val="0"/>
          <w:sz w:val="32"/>
          <w:szCs w:val="32"/>
        </w:rPr>
        <w:t>，海淀组团新注册企业1594家</w:t>
      </w:r>
      <w:r>
        <w:rPr>
          <w:rFonts w:ascii="仿宋_GB2312" w:hAnsi="仿宋_GB2312" w:eastAsia="仿宋_GB2312" w:cs="仿宋_GB2312"/>
          <w:b w:val="0"/>
          <w:bCs w:val="0"/>
          <w:sz w:val="32"/>
          <w:szCs w:val="32"/>
        </w:rPr>
        <w:t>。推进重点建设任务，形成21个创新案例，其中“生态环境正面清单差异化监管新模式”向全国复制推广</w:t>
      </w:r>
      <w:r>
        <w:rPr>
          <w:rFonts w:hint="eastAsia" w:ascii="仿宋_GB2312" w:hAnsi="仿宋_GB2312" w:eastAsia="仿宋_GB2312" w:cs="仿宋_GB2312"/>
          <w:b w:val="0"/>
          <w:bCs w:val="0"/>
          <w:sz w:val="32"/>
          <w:szCs w:val="32"/>
        </w:rPr>
        <w:t>，“大中小企业融通创新新模式”等3项向全市复制推广</w:t>
      </w:r>
      <w:r>
        <w:rPr>
          <w:rFonts w:ascii="仿宋_GB2312" w:hAnsi="仿宋_GB2312" w:eastAsia="仿宋_GB2312" w:cs="仿宋_GB2312"/>
          <w:b w:val="0"/>
          <w:bCs w:val="0"/>
          <w:sz w:val="32"/>
          <w:szCs w:val="32"/>
        </w:rPr>
        <w:t>；中关村综保区申报材料已正式上报国务院，提前谋划培育入区项目46个，超10余家企业已达成入区意向。</w:t>
      </w:r>
      <w:r>
        <w:rPr>
          <w:rFonts w:hint="eastAsia" w:ascii="仿宋_GB2312" w:hAnsi="仿宋_GB2312" w:eastAsia="仿宋_GB2312" w:cs="仿宋_GB2312"/>
          <w:b w:val="0"/>
          <w:bCs w:val="0"/>
          <w:sz w:val="32"/>
          <w:szCs w:val="32"/>
        </w:rPr>
        <w:t>积极推动本外币合一银行结算账户试点银行——招商银行海淀支行开展试点业务。</w:t>
      </w:r>
    </w:p>
    <w:p w14:paraId="2E98C0D7">
      <w:pPr>
        <w:adjustRightInd w:val="0"/>
        <w:snapToGrid w:val="0"/>
        <w:spacing w:line="550" w:lineRule="exact"/>
        <w:ind w:firstLine="640" w:firstLineChars="200"/>
        <w:jc w:val="both"/>
        <w:rPr>
          <w:rFonts w:ascii="楷体_GB2312" w:hAnsi="宋体" w:eastAsia="楷体_GB2312"/>
          <w:b w:val="0"/>
          <w:bCs w:val="0"/>
          <w:sz w:val="32"/>
          <w:szCs w:val="32"/>
        </w:rPr>
      </w:pPr>
      <w:r>
        <w:rPr>
          <w:rFonts w:hint="eastAsia" w:ascii="楷体_GB2312" w:hAnsi="宋体" w:eastAsia="楷体_GB2312"/>
          <w:b w:val="0"/>
          <w:bCs w:val="0"/>
          <w:sz w:val="32"/>
          <w:szCs w:val="32"/>
        </w:rPr>
        <w:t>（三）创新驱动发展战略深入实施，新动能加快成长</w:t>
      </w:r>
    </w:p>
    <w:p w14:paraId="005B4789">
      <w:pPr>
        <w:adjustRightInd w:val="0"/>
        <w:snapToGrid w:val="0"/>
        <w:spacing w:line="550" w:lineRule="exact"/>
        <w:ind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加速中关村新一轮先行先试政策落地。</w:t>
      </w:r>
      <w:r>
        <w:rPr>
          <w:rFonts w:hint="eastAsia" w:ascii="仿宋_GB2312" w:hAnsi="仿宋_GB2312" w:eastAsia="仿宋_GB2312" w:cs="仿宋_GB2312"/>
          <w:b w:val="0"/>
          <w:bCs w:val="0"/>
          <w:sz w:val="32"/>
          <w:szCs w:val="32"/>
          <w:lang w:eastAsia="zh-CN"/>
        </w:rPr>
        <w:t>成立改革专项工作组，出台落实方案，推动</w:t>
      </w:r>
      <w:r>
        <w:rPr>
          <w:rFonts w:hint="eastAsia" w:ascii="仿宋_GB2312" w:hAnsi="仿宋_GB2312" w:eastAsia="仿宋_GB2312" w:cs="仿宋_GB2312"/>
          <w:b w:val="0"/>
          <w:bCs w:val="0"/>
          <w:sz w:val="32"/>
          <w:szCs w:val="32"/>
          <w:lang w:val="en-US" w:eastAsia="zh-CN"/>
        </w:rPr>
        <w:t>24项改革举措逐项落实到园区、企业和项目。</w:t>
      </w:r>
      <w:r>
        <w:rPr>
          <w:rFonts w:hint="eastAsia" w:ascii="仿宋_GB2312" w:eastAsia="仿宋_GB2312"/>
          <w:b w:val="0"/>
          <w:bCs w:val="0"/>
          <w:sz w:val="32"/>
          <w:szCs w:val="32"/>
        </w:rPr>
        <w:t>研发费用加计扣除政策</w:t>
      </w:r>
      <w:r>
        <w:rPr>
          <w:rFonts w:hint="eastAsia" w:ascii="仿宋_GB2312" w:eastAsia="仿宋_GB2312"/>
          <w:b w:val="0"/>
          <w:bCs w:val="0"/>
          <w:sz w:val="32"/>
          <w:szCs w:val="32"/>
          <w:lang w:eastAsia="zh-CN"/>
        </w:rPr>
        <w:t>等</w:t>
      </w:r>
      <w:r>
        <w:rPr>
          <w:rFonts w:ascii="仿宋_GB2312" w:eastAsia="仿宋_GB2312"/>
          <w:b w:val="0"/>
          <w:bCs w:val="0"/>
          <w:sz w:val="32"/>
          <w:szCs w:val="32"/>
        </w:rPr>
        <w:t>3项涉税改革措施</w:t>
      </w:r>
      <w:r>
        <w:rPr>
          <w:rFonts w:hint="eastAsia" w:ascii="仿宋_GB2312" w:eastAsia="仿宋_GB2312"/>
          <w:b w:val="0"/>
          <w:bCs w:val="0"/>
          <w:sz w:val="32"/>
          <w:szCs w:val="32"/>
          <w:lang w:eastAsia="zh-CN"/>
        </w:rPr>
        <w:t>惠及</w:t>
      </w:r>
      <w:r>
        <w:rPr>
          <w:rFonts w:ascii="仿宋_GB2312" w:eastAsia="仿宋_GB2312"/>
          <w:b w:val="0"/>
          <w:bCs w:val="0"/>
          <w:sz w:val="32"/>
          <w:szCs w:val="32"/>
        </w:rPr>
        <w:t>科技型中小企业</w:t>
      </w:r>
      <w:r>
        <w:rPr>
          <w:rFonts w:hint="eastAsia" w:ascii="仿宋_GB2312" w:eastAsia="仿宋_GB2312"/>
          <w:b w:val="0"/>
          <w:bCs w:val="0"/>
          <w:sz w:val="32"/>
          <w:szCs w:val="32"/>
          <w:lang w:eastAsia="zh-CN"/>
        </w:rPr>
        <w:t>超</w:t>
      </w:r>
      <w:r>
        <w:rPr>
          <w:rFonts w:hint="eastAsia" w:ascii="仿宋_GB2312" w:eastAsia="仿宋_GB2312"/>
          <w:b w:val="0"/>
          <w:bCs w:val="0"/>
          <w:sz w:val="32"/>
          <w:szCs w:val="32"/>
          <w:lang w:val="en-US" w:eastAsia="zh-CN"/>
        </w:rPr>
        <w:t>2000家</w:t>
      </w:r>
      <w:r>
        <w:rPr>
          <w:rFonts w:hint="eastAsia" w:ascii="仿宋_GB2312" w:eastAsia="仿宋_GB2312"/>
          <w:b w:val="0"/>
          <w:bCs w:val="0"/>
          <w:sz w:val="32"/>
          <w:szCs w:val="32"/>
        </w:rPr>
        <w:t>；</w:t>
      </w:r>
      <w:r>
        <w:rPr>
          <w:rFonts w:hint="eastAsia" w:ascii="仿宋_GB2312" w:hAnsi="仿宋_GB2312" w:eastAsia="仿宋_GB2312" w:cs="仿宋_GB2312"/>
          <w:b w:val="0"/>
          <w:bCs w:val="0"/>
          <w:sz w:val="32"/>
          <w:szCs w:val="32"/>
        </w:rPr>
        <w:t>征集发布1000余项专利开放许可清单，落地科技成果先使用后付费试点案例4项</w:t>
      </w:r>
      <w:r>
        <w:rPr>
          <w:rFonts w:hint="eastAsia" w:ascii="仿宋_GB2312" w:eastAsia="仿宋_GB2312"/>
          <w:b w:val="0"/>
          <w:bCs w:val="0"/>
          <w:sz w:val="32"/>
          <w:szCs w:val="32"/>
        </w:rPr>
        <w:t>。</w:t>
      </w:r>
      <w:r>
        <w:rPr>
          <w:rFonts w:hint="eastAsia" w:ascii="仿宋_GB2312" w:hAnsi="仿宋_GB2312" w:eastAsia="仿宋_GB2312" w:cs="仿宋_GB2312"/>
          <w:b w:val="0"/>
          <w:bCs w:val="0"/>
          <w:sz w:val="32"/>
          <w:szCs w:val="32"/>
        </w:rPr>
        <w:t>发布关键核心技术“揭榜挂帅”、科技应用场景等</w:t>
      </w:r>
      <w:r>
        <w:rPr>
          <w:rFonts w:hint="eastAsia" w:ascii="仿宋_GB2312" w:hAnsi="仿宋_GB2312" w:eastAsia="仿宋_GB2312" w:cs="仿宋_GB2312"/>
          <w:b w:val="0"/>
          <w:bCs w:val="0"/>
          <w:sz w:val="32"/>
          <w:szCs w:val="32"/>
          <w:lang w:val="en-US" w:eastAsia="zh-CN"/>
        </w:rPr>
        <w:t>4个</w:t>
      </w:r>
      <w:r>
        <w:rPr>
          <w:rFonts w:hint="eastAsia" w:ascii="仿宋_GB2312" w:hAnsi="仿宋_GB2312" w:eastAsia="仿宋_GB2312" w:cs="仿宋_GB2312"/>
          <w:b w:val="0"/>
          <w:bCs w:val="0"/>
          <w:sz w:val="32"/>
          <w:szCs w:val="32"/>
        </w:rPr>
        <w:t>区级配套措施，部分先行先试改革措施取得阶段性进</w:t>
      </w:r>
      <w:r>
        <w:rPr>
          <w:rFonts w:hint="eastAsia" w:ascii="仿宋_GB2312" w:eastAsia="仿宋_GB2312"/>
          <w:b w:val="0"/>
          <w:bCs w:val="0"/>
          <w:sz w:val="32"/>
          <w:szCs w:val="32"/>
        </w:rPr>
        <w:t>展。联合北京银保监局设立并运行中关村</w:t>
      </w:r>
      <w:r>
        <w:rPr>
          <w:rFonts w:hint="eastAsia" w:ascii="仿宋_GB2312" w:hAnsi="Calibri" w:eastAsia="仿宋_GB2312"/>
          <w:b w:val="0"/>
          <w:bCs w:val="0"/>
          <w:sz w:val="32"/>
          <w:szCs w:val="32"/>
        </w:rPr>
        <w:t>科创金融服务中心，</w:t>
      </w:r>
      <w:r>
        <w:rPr>
          <w:rFonts w:hint="eastAsia" w:ascii="仿宋_GB2312" w:eastAsia="仿宋_GB2312"/>
          <w:b w:val="0"/>
          <w:bCs w:val="0"/>
          <w:sz w:val="32"/>
          <w:szCs w:val="32"/>
        </w:rPr>
        <w:t>率先推行并购贷、科技人才贷、认股权贷等创新试点</w:t>
      </w:r>
      <w:r>
        <w:rPr>
          <w:rFonts w:hint="eastAsia" w:ascii="仿宋_GB2312" w:hAnsi="Calibri" w:eastAsia="仿宋_GB2312"/>
          <w:b w:val="0"/>
          <w:bCs w:val="0"/>
          <w:sz w:val="32"/>
          <w:szCs w:val="32"/>
        </w:rPr>
        <w:t>。</w:t>
      </w:r>
      <w:r>
        <w:rPr>
          <w:rFonts w:hint="eastAsia" w:ascii="仿宋_GB2312" w:hAnsi="仿宋_GB2312" w:eastAsia="仿宋_GB2312" w:cs="仿宋_GB2312"/>
          <w:b w:val="0"/>
          <w:bCs w:val="0"/>
          <w:sz w:val="32"/>
          <w:szCs w:val="32"/>
        </w:rPr>
        <w:t>国家高端装备制造业标准化试点通过终期验收，中国兵工物资集团入选国家智能制造标准应用试点。</w:t>
      </w:r>
    </w:p>
    <w:p w14:paraId="31276073">
      <w:pPr>
        <w:adjustRightInd w:val="0"/>
        <w:snapToGrid w:val="0"/>
        <w:spacing w:line="560" w:lineRule="exact"/>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专栏3：中关村新一轮先行先试政策落地效果</w:t>
      </w:r>
    </w:p>
    <w:tbl>
      <w:tblPr>
        <w:tblStyle w:val="20"/>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3538"/>
        <w:gridCol w:w="4753"/>
      </w:tblGrid>
      <w:tr w14:paraId="304459F9">
        <w:trPr>
          <w:trHeight w:val="425" w:hRule="atLeast"/>
          <w:tblHeader/>
          <w:jc w:val="center"/>
        </w:trPr>
        <w:tc>
          <w:tcPr>
            <w:tcW w:w="780" w:type="dxa"/>
            <w:tcMar>
              <w:top w:w="0" w:type="dxa"/>
              <w:left w:w="57" w:type="dxa"/>
              <w:bottom w:w="0" w:type="dxa"/>
              <w:right w:w="57" w:type="dxa"/>
            </w:tcMar>
            <w:vAlign w:val="center"/>
          </w:tcPr>
          <w:p w14:paraId="23F992B0">
            <w:pPr>
              <w:widowControl/>
              <w:jc w:val="center"/>
              <w:rPr>
                <w:rFonts w:hint="eastAsia" w:ascii="黑体" w:hAnsi="黑体" w:eastAsia="黑体" w:cs="黑体"/>
                <w:b w:val="0"/>
                <w:bCs w:val="0"/>
                <w:sz w:val="22"/>
              </w:rPr>
            </w:pPr>
            <w:r>
              <w:rPr>
                <w:rFonts w:hint="eastAsia" w:ascii="黑体" w:hAnsi="黑体" w:eastAsia="黑体" w:cs="黑体"/>
                <w:b w:val="0"/>
                <w:bCs w:val="0"/>
                <w:sz w:val="22"/>
              </w:rPr>
              <w:t>类别</w:t>
            </w:r>
          </w:p>
        </w:tc>
        <w:tc>
          <w:tcPr>
            <w:tcW w:w="3538" w:type="dxa"/>
            <w:tcMar>
              <w:top w:w="0" w:type="dxa"/>
              <w:left w:w="57" w:type="dxa"/>
              <w:bottom w:w="0" w:type="dxa"/>
              <w:right w:w="57" w:type="dxa"/>
            </w:tcMar>
            <w:vAlign w:val="center"/>
          </w:tcPr>
          <w:p w14:paraId="1EE33CC3">
            <w:pPr>
              <w:widowControl/>
              <w:jc w:val="center"/>
              <w:rPr>
                <w:rFonts w:hint="eastAsia" w:ascii="黑体" w:hAnsi="黑体" w:eastAsia="黑体" w:cs="黑体"/>
                <w:b w:val="0"/>
                <w:bCs w:val="0"/>
                <w:sz w:val="22"/>
              </w:rPr>
            </w:pPr>
            <w:r>
              <w:rPr>
                <w:rFonts w:hint="eastAsia" w:ascii="黑体" w:hAnsi="黑体" w:eastAsia="黑体" w:cs="黑体"/>
                <w:b w:val="0"/>
                <w:bCs w:val="0"/>
                <w:sz w:val="22"/>
              </w:rPr>
              <w:t>政策</w:t>
            </w:r>
          </w:p>
        </w:tc>
        <w:tc>
          <w:tcPr>
            <w:tcW w:w="4753" w:type="dxa"/>
            <w:tcMar>
              <w:top w:w="0" w:type="dxa"/>
              <w:left w:w="57" w:type="dxa"/>
              <w:bottom w:w="0" w:type="dxa"/>
              <w:right w:w="57" w:type="dxa"/>
            </w:tcMar>
            <w:vAlign w:val="center"/>
          </w:tcPr>
          <w:p w14:paraId="019DC46B">
            <w:pPr>
              <w:widowControl/>
              <w:jc w:val="center"/>
              <w:rPr>
                <w:rFonts w:hint="eastAsia" w:ascii="黑体" w:hAnsi="黑体" w:eastAsia="黑体" w:cs="黑体"/>
                <w:b w:val="0"/>
                <w:bCs w:val="0"/>
                <w:sz w:val="22"/>
              </w:rPr>
            </w:pPr>
            <w:r>
              <w:rPr>
                <w:rFonts w:hint="eastAsia" w:ascii="黑体" w:hAnsi="黑体" w:eastAsia="黑体" w:cs="黑体"/>
                <w:b w:val="0"/>
                <w:bCs w:val="0"/>
                <w:sz w:val="22"/>
              </w:rPr>
              <w:t>实施效果</w:t>
            </w:r>
          </w:p>
        </w:tc>
      </w:tr>
      <w:tr w14:paraId="37B9C46F">
        <w:trPr>
          <w:trHeight w:val="567" w:hRule="atLeast"/>
          <w:jc w:val="center"/>
        </w:trPr>
        <w:tc>
          <w:tcPr>
            <w:tcW w:w="780" w:type="dxa"/>
            <w:vMerge w:val="restart"/>
            <w:tcMar>
              <w:top w:w="0" w:type="dxa"/>
              <w:left w:w="57" w:type="dxa"/>
              <w:bottom w:w="0" w:type="dxa"/>
              <w:right w:w="57" w:type="dxa"/>
            </w:tcMar>
            <w:vAlign w:val="center"/>
          </w:tcPr>
          <w:p w14:paraId="03CECD01">
            <w:pPr>
              <w:jc w:val="center"/>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国家级政策</w:t>
            </w:r>
          </w:p>
        </w:tc>
        <w:tc>
          <w:tcPr>
            <w:tcW w:w="3538" w:type="dxa"/>
            <w:tcMar>
              <w:top w:w="17" w:type="dxa"/>
              <w:left w:w="57" w:type="dxa"/>
              <w:bottom w:w="17" w:type="dxa"/>
              <w:right w:w="57" w:type="dxa"/>
            </w:tcMar>
            <w:vAlign w:val="center"/>
          </w:tcPr>
          <w:p w14:paraId="5C0A4AD2">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《关于进一步提高科技型中小企业研发费用税前加计扣除比例的公告》</w:t>
            </w:r>
          </w:p>
        </w:tc>
        <w:tc>
          <w:tcPr>
            <w:tcW w:w="4753" w:type="dxa"/>
            <w:tcMar>
              <w:top w:w="17" w:type="dxa"/>
              <w:left w:w="57" w:type="dxa"/>
              <w:bottom w:w="17" w:type="dxa"/>
              <w:right w:w="57" w:type="dxa"/>
            </w:tcMar>
            <w:vAlign w:val="center"/>
          </w:tcPr>
          <w:p w14:paraId="04B2AE0A">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 xml:space="preserve">惠及企业超过2000家，新增减免企业所得税3.4亿元  </w:t>
            </w:r>
          </w:p>
        </w:tc>
      </w:tr>
      <w:tr w14:paraId="7782084A">
        <w:trPr>
          <w:trHeight w:val="567" w:hRule="atLeast"/>
          <w:jc w:val="center"/>
        </w:trPr>
        <w:tc>
          <w:tcPr>
            <w:tcW w:w="780" w:type="dxa"/>
            <w:vMerge w:val="continue"/>
            <w:tcMar>
              <w:top w:w="0" w:type="dxa"/>
              <w:left w:w="57" w:type="dxa"/>
              <w:bottom w:w="0" w:type="dxa"/>
              <w:right w:w="57" w:type="dxa"/>
            </w:tcMar>
            <w:vAlign w:val="center"/>
          </w:tcPr>
          <w:p w14:paraId="6FBD9C58">
            <w:pPr>
              <w:jc w:val="center"/>
              <w:rPr>
                <w:rFonts w:hint="eastAsia" w:ascii="仿宋_GB2312" w:hAnsi="仿宋_GB2312" w:eastAsia="仿宋_GB2312" w:cs="仿宋_GB2312"/>
                <w:b w:val="0"/>
                <w:bCs w:val="0"/>
                <w:sz w:val="22"/>
              </w:rPr>
            </w:pPr>
          </w:p>
        </w:tc>
        <w:tc>
          <w:tcPr>
            <w:tcW w:w="3538" w:type="dxa"/>
            <w:tcMar>
              <w:top w:w="17" w:type="dxa"/>
              <w:left w:w="57" w:type="dxa"/>
              <w:bottom w:w="17" w:type="dxa"/>
              <w:right w:w="57" w:type="dxa"/>
            </w:tcMar>
            <w:vAlign w:val="center"/>
          </w:tcPr>
          <w:p w14:paraId="579531CE">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《关于加大支持科技创新税前扣除力度的公告》</w:t>
            </w:r>
          </w:p>
        </w:tc>
        <w:tc>
          <w:tcPr>
            <w:tcW w:w="4753" w:type="dxa"/>
            <w:tcMar>
              <w:top w:w="17" w:type="dxa"/>
              <w:left w:w="57" w:type="dxa"/>
              <w:bottom w:w="17" w:type="dxa"/>
              <w:right w:w="57" w:type="dxa"/>
            </w:tcMar>
            <w:vAlign w:val="center"/>
          </w:tcPr>
          <w:p w14:paraId="7BD0B88B">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惠及11家企业</w:t>
            </w:r>
          </w:p>
        </w:tc>
      </w:tr>
      <w:tr w14:paraId="2DE7B77A">
        <w:trPr>
          <w:trHeight w:val="567" w:hRule="atLeast"/>
          <w:jc w:val="center"/>
        </w:trPr>
        <w:tc>
          <w:tcPr>
            <w:tcW w:w="780" w:type="dxa"/>
            <w:vMerge w:val="continue"/>
            <w:tcMar>
              <w:top w:w="0" w:type="dxa"/>
              <w:left w:w="57" w:type="dxa"/>
              <w:bottom w:w="0" w:type="dxa"/>
              <w:right w:w="57" w:type="dxa"/>
            </w:tcMar>
            <w:vAlign w:val="center"/>
          </w:tcPr>
          <w:p w14:paraId="118A36E4">
            <w:pPr>
              <w:jc w:val="center"/>
              <w:rPr>
                <w:rFonts w:hint="eastAsia" w:ascii="仿宋_GB2312" w:hAnsi="仿宋_GB2312" w:eastAsia="仿宋_GB2312" w:cs="仿宋_GB2312"/>
                <w:b w:val="0"/>
                <w:bCs w:val="0"/>
                <w:sz w:val="22"/>
              </w:rPr>
            </w:pPr>
          </w:p>
        </w:tc>
        <w:tc>
          <w:tcPr>
            <w:tcW w:w="3538" w:type="dxa"/>
            <w:tcMar>
              <w:top w:w="17" w:type="dxa"/>
              <w:left w:w="57" w:type="dxa"/>
              <w:bottom w:w="17" w:type="dxa"/>
              <w:right w:w="57" w:type="dxa"/>
            </w:tcMar>
            <w:vAlign w:val="center"/>
          </w:tcPr>
          <w:p w14:paraId="13C8F52C">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中关村国家自主创新示范区核心区（海淀园）股权激励分期纳税政策</w:t>
            </w:r>
          </w:p>
        </w:tc>
        <w:tc>
          <w:tcPr>
            <w:tcW w:w="4753" w:type="dxa"/>
            <w:tcMar>
              <w:top w:w="17" w:type="dxa"/>
              <w:left w:w="57" w:type="dxa"/>
              <w:bottom w:w="17" w:type="dxa"/>
              <w:right w:w="57" w:type="dxa"/>
            </w:tcMar>
            <w:vAlign w:val="center"/>
          </w:tcPr>
          <w:p w14:paraId="49D4C984">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惠及66家上市企业</w:t>
            </w:r>
          </w:p>
        </w:tc>
      </w:tr>
      <w:tr w14:paraId="52ADB507">
        <w:trPr>
          <w:trHeight w:val="567" w:hRule="atLeast"/>
          <w:jc w:val="center"/>
        </w:trPr>
        <w:tc>
          <w:tcPr>
            <w:tcW w:w="780" w:type="dxa"/>
            <w:vMerge w:val="continue"/>
            <w:tcMar>
              <w:top w:w="0" w:type="dxa"/>
              <w:left w:w="57" w:type="dxa"/>
              <w:bottom w:w="0" w:type="dxa"/>
              <w:right w:w="57" w:type="dxa"/>
            </w:tcMar>
            <w:vAlign w:val="center"/>
          </w:tcPr>
          <w:p w14:paraId="0DD2C9CE">
            <w:pPr>
              <w:jc w:val="center"/>
              <w:rPr>
                <w:rFonts w:hint="eastAsia" w:ascii="仿宋_GB2312" w:hAnsi="仿宋_GB2312" w:eastAsia="仿宋_GB2312" w:cs="仿宋_GB2312"/>
                <w:b w:val="0"/>
                <w:bCs w:val="0"/>
                <w:sz w:val="22"/>
              </w:rPr>
            </w:pPr>
          </w:p>
        </w:tc>
        <w:tc>
          <w:tcPr>
            <w:tcW w:w="3538" w:type="dxa"/>
            <w:tcMar>
              <w:top w:w="17" w:type="dxa"/>
              <w:left w:w="57" w:type="dxa"/>
              <w:bottom w:w="17" w:type="dxa"/>
              <w:right w:w="57" w:type="dxa"/>
            </w:tcMar>
            <w:vAlign w:val="center"/>
          </w:tcPr>
          <w:p w14:paraId="6B8D8337">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下达北京市与国家实验室、北京新型研发机构联合培养一批研究生指标</w:t>
            </w:r>
          </w:p>
        </w:tc>
        <w:tc>
          <w:tcPr>
            <w:tcW w:w="4753" w:type="dxa"/>
            <w:tcMar>
              <w:top w:w="17" w:type="dxa"/>
              <w:left w:w="57" w:type="dxa"/>
              <w:bottom w:w="17" w:type="dxa"/>
              <w:right w:w="57" w:type="dxa"/>
            </w:tcMar>
            <w:vAlign w:val="center"/>
          </w:tcPr>
          <w:p w14:paraId="38C9A269">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教育部已向12所高校下达与新型研发机构联合培养博士研究生专项指标173个。</w:t>
            </w:r>
          </w:p>
        </w:tc>
      </w:tr>
      <w:tr w14:paraId="65CBB0F6">
        <w:trPr>
          <w:trHeight w:val="567" w:hRule="atLeast"/>
          <w:jc w:val="center"/>
        </w:trPr>
        <w:tc>
          <w:tcPr>
            <w:tcW w:w="780" w:type="dxa"/>
            <w:vMerge w:val="continue"/>
            <w:tcMar>
              <w:top w:w="0" w:type="dxa"/>
              <w:left w:w="57" w:type="dxa"/>
              <w:bottom w:w="0" w:type="dxa"/>
              <w:right w:w="57" w:type="dxa"/>
            </w:tcMar>
            <w:vAlign w:val="center"/>
          </w:tcPr>
          <w:p w14:paraId="05C660D7">
            <w:pPr>
              <w:jc w:val="center"/>
              <w:rPr>
                <w:rFonts w:hint="eastAsia" w:ascii="仿宋_GB2312" w:hAnsi="仿宋_GB2312" w:eastAsia="仿宋_GB2312" w:cs="仿宋_GB2312"/>
                <w:b w:val="0"/>
                <w:bCs w:val="0"/>
                <w:sz w:val="22"/>
              </w:rPr>
            </w:pPr>
          </w:p>
        </w:tc>
        <w:tc>
          <w:tcPr>
            <w:tcW w:w="3538" w:type="dxa"/>
            <w:tcMar>
              <w:top w:w="17" w:type="dxa"/>
              <w:left w:w="57" w:type="dxa"/>
              <w:bottom w:w="17" w:type="dxa"/>
              <w:right w:w="57" w:type="dxa"/>
            </w:tcMar>
            <w:vAlign w:val="center"/>
          </w:tcPr>
          <w:p w14:paraId="4BF94F2C">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建设外国人出入境服务厅</w:t>
            </w:r>
          </w:p>
        </w:tc>
        <w:tc>
          <w:tcPr>
            <w:tcW w:w="4753" w:type="dxa"/>
            <w:tcMar>
              <w:top w:w="17" w:type="dxa"/>
              <w:left w:w="57" w:type="dxa"/>
              <w:bottom w:w="17" w:type="dxa"/>
              <w:right w:w="57" w:type="dxa"/>
            </w:tcMar>
            <w:vAlign w:val="center"/>
          </w:tcPr>
          <w:p w14:paraId="0D4943C1">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实现外籍人才（A\B\C类）工作许可和居留许可“两证联办”，已受理“两证联办”业务26人次，受理外国人来华工作许可业务322人次。</w:t>
            </w:r>
          </w:p>
        </w:tc>
      </w:tr>
      <w:tr w14:paraId="02A04CEC">
        <w:trPr>
          <w:trHeight w:val="567" w:hRule="atLeast"/>
          <w:jc w:val="center"/>
        </w:trPr>
        <w:tc>
          <w:tcPr>
            <w:tcW w:w="780" w:type="dxa"/>
            <w:vMerge w:val="restart"/>
            <w:tcMar>
              <w:top w:w="0" w:type="dxa"/>
              <w:left w:w="57" w:type="dxa"/>
              <w:bottom w:w="0" w:type="dxa"/>
              <w:right w:w="57" w:type="dxa"/>
            </w:tcMar>
            <w:vAlign w:val="center"/>
          </w:tcPr>
          <w:p w14:paraId="1D8BBADA">
            <w:pPr>
              <w:jc w:val="center"/>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市级</w:t>
            </w:r>
          </w:p>
          <w:p w14:paraId="4F5C3811">
            <w:pPr>
              <w:jc w:val="center"/>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措施</w:t>
            </w:r>
          </w:p>
        </w:tc>
        <w:tc>
          <w:tcPr>
            <w:tcW w:w="3538" w:type="dxa"/>
            <w:tcMar>
              <w:top w:w="17" w:type="dxa"/>
              <w:left w:w="57" w:type="dxa"/>
              <w:bottom w:w="17" w:type="dxa"/>
              <w:right w:w="57" w:type="dxa"/>
            </w:tcMar>
            <w:vAlign w:val="center"/>
          </w:tcPr>
          <w:p w14:paraId="00885E73">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由北京银保监局、海淀区政府共同设立“中关村科创金融服务中心”</w:t>
            </w:r>
          </w:p>
        </w:tc>
        <w:tc>
          <w:tcPr>
            <w:tcW w:w="4753" w:type="dxa"/>
            <w:tcMar>
              <w:top w:w="17" w:type="dxa"/>
              <w:left w:w="57" w:type="dxa"/>
              <w:bottom w:w="17" w:type="dxa"/>
              <w:right w:w="57" w:type="dxa"/>
            </w:tcMar>
            <w:vAlign w:val="center"/>
          </w:tcPr>
          <w:p w14:paraId="66958A70">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率先推行并购贷款、科技人才贷、认股权贷款等创新试点，引入北京股权交易中心，开展股权登记试点。北京股权交易中心完成股权份额转让17单、交易金额26.4亿元，股权份额质押26单、规模23.1亿元。</w:t>
            </w:r>
          </w:p>
        </w:tc>
      </w:tr>
      <w:tr w14:paraId="3C0C48DF">
        <w:trPr>
          <w:trHeight w:val="567" w:hRule="atLeast"/>
          <w:jc w:val="center"/>
        </w:trPr>
        <w:tc>
          <w:tcPr>
            <w:tcW w:w="780" w:type="dxa"/>
            <w:vMerge w:val="continue"/>
            <w:tcMar>
              <w:top w:w="0" w:type="dxa"/>
              <w:left w:w="57" w:type="dxa"/>
              <w:bottom w:w="0" w:type="dxa"/>
              <w:right w:w="57" w:type="dxa"/>
            </w:tcMar>
            <w:vAlign w:val="center"/>
          </w:tcPr>
          <w:p w14:paraId="00D27DE7">
            <w:pPr>
              <w:jc w:val="center"/>
              <w:rPr>
                <w:rFonts w:hint="eastAsia" w:ascii="仿宋_GB2312" w:hAnsi="仿宋_GB2312" w:eastAsia="仿宋_GB2312" w:cs="仿宋_GB2312"/>
                <w:b w:val="0"/>
                <w:bCs w:val="0"/>
                <w:sz w:val="22"/>
              </w:rPr>
            </w:pPr>
          </w:p>
        </w:tc>
        <w:tc>
          <w:tcPr>
            <w:tcW w:w="3538" w:type="dxa"/>
            <w:tcMar>
              <w:top w:w="17" w:type="dxa"/>
              <w:left w:w="57" w:type="dxa"/>
              <w:bottom w:w="17" w:type="dxa"/>
              <w:right w:w="57" w:type="dxa"/>
            </w:tcMar>
            <w:vAlign w:val="center"/>
          </w:tcPr>
          <w:p w14:paraId="345DCC33">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市金融监管局等六部门发布《关于对科技创新企业给予全链条金融支持的若干措施》</w:t>
            </w:r>
          </w:p>
        </w:tc>
        <w:tc>
          <w:tcPr>
            <w:tcW w:w="4753" w:type="dxa"/>
            <w:tcMar>
              <w:top w:w="17" w:type="dxa"/>
              <w:left w:w="57" w:type="dxa"/>
              <w:bottom w:w="17" w:type="dxa"/>
              <w:right w:w="57" w:type="dxa"/>
            </w:tcMar>
            <w:vAlign w:val="center"/>
          </w:tcPr>
          <w:p w14:paraId="768E00BD">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截至目前，海淀区已拨付金融产业发展专项资金23829.84万元，共支持138个项目。</w:t>
            </w:r>
          </w:p>
        </w:tc>
      </w:tr>
      <w:tr w14:paraId="28334AB5">
        <w:trPr>
          <w:trHeight w:val="567" w:hRule="atLeast"/>
          <w:jc w:val="center"/>
        </w:trPr>
        <w:tc>
          <w:tcPr>
            <w:tcW w:w="780" w:type="dxa"/>
            <w:vMerge w:val="restart"/>
            <w:tcMar>
              <w:top w:w="0" w:type="dxa"/>
              <w:left w:w="57" w:type="dxa"/>
              <w:bottom w:w="0" w:type="dxa"/>
              <w:right w:w="57" w:type="dxa"/>
            </w:tcMar>
            <w:vAlign w:val="center"/>
          </w:tcPr>
          <w:p w14:paraId="3993195E">
            <w:pPr>
              <w:jc w:val="center"/>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区级配套政策</w:t>
            </w:r>
          </w:p>
        </w:tc>
        <w:tc>
          <w:tcPr>
            <w:tcW w:w="3538" w:type="dxa"/>
            <w:tcMar>
              <w:top w:w="17" w:type="dxa"/>
              <w:left w:w="57" w:type="dxa"/>
              <w:bottom w:w="17" w:type="dxa"/>
              <w:right w:w="57" w:type="dxa"/>
            </w:tcMar>
            <w:vAlign w:val="center"/>
          </w:tcPr>
          <w:p w14:paraId="63601949">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2022年中关村科学城关键核心技术“揭榜挂帅”专项（领军企业发榜项目）申报指南</w:t>
            </w:r>
          </w:p>
        </w:tc>
        <w:tc>
          <w:tcPr>
            <w:tcW w:w="4753" w:type="dxa"/>
            <w:tcMar>
              <w:top w:w="17" w:type="dxa"/>
              <w:left w:w="57" w:type="dxa"/>
              <w:bottom w:w="17" w:type="dxa"/>
              <w:right w:w="57" w:type="dxa"/>
            </w:tcMar>
            <w:vAlign w:val="center"/>
          </w:tcPr>
          <w:p w14:paraId="6968269B">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4家企业发布6项创新项目需求榜；专项首批围绕医药健康、能源环保、智能制造、人工智能等领域发布6项榜单，包括公开征集2项、定向邀请4项。</w:t>
            </w:r>
          </w:p>
        </w:tc>
      </w:tr>
      <w:tr w14:paraId="644B3CFF">
        <w:trPr>
          <w:trHeight w:val="567" w:hRule="atLeast"/>
          <w:jc w:val="center"/>
        </w:trPr>
        <w:tc>
          <w:tcPr>
            <w:tcW w:w="780" w:type="dxa"/>
            <w:vMerge w:val="continue"/>
            <w:tcMar>
              <w:top w:w="0" w:type="dxa"/>
              <w:left w:w="57" w:type="dxa"/>
              <w:bottom w:w="0" w:type="dxa"/>
              <w:right w:w="57" w:type="dxa"/>
            </w:tcMar>
            <w:vAlign w:val="center"/>
          </w:tcPr>
          <w:p w14:paraId="5FA2A91B">
            <w:pPr>
              <w:jc w:val="center"/>
              <w:rPr>
                <w:rFonts w:hint="eastAsia" w:ascii="仿宋_GB2312" w:hAnsi="仿宋_GB2312" w:eastAsia="仿宋_GB2312" w:cs="仿宋_GB2312"/>
                <w:b w:val="0"/>
                <w:bCs w:val="0"/>
                <w:sz w:val="22"/>
              </w:rPr>
            </w:pPr>
          </w:p>
        </w:tc>
        <w:tc>
          <w:tcPr>
            <w:tcW w:w="3538" w:type="dxa"/>
            <w:tcMar>
              <w:top w:w="17" w:type="dxa"/>
              <w:left w:w="57" w:type="dxa"/>
              <w:bottom w:w="17" w:type="dxa"/>
              <w:right w:w="57" w:type="dxa"/>
            </w:tcMar>
            <w:vAlign w:val="center"/>
          </w:tcPr>
          <w:p w14:paraId="0E25E110">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关于开展海淀区促进高校院所科技成果转化先行先试试点工作的通知</w:t>
            </w:r>
          </w:p>
        </w:tc>
        <w:tc>
          <w:tcPr>
            <w:tcW w:w="4753" w:type="dxa"/>
            <w:tcMar>
              <w:top w:w="17" w:type="dxa"/>
              <w:left w:w="57" w:type="dxa"/>
              <w:bottom w:w="17" w:type="dxa"/>
              <w:right w:w="57" w:type="dxa"/>
            </w:tcMar>
            <w:vAlign w:val="center"/>
          </w:tcPr>
          <w:p w14:paraId="79E0D91D">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已征集1400余件开放许可专利清单，已发布500件拟开放许可专利信息，其中417件专利可通过“先使用后付费”模式许可给中小微企业，已达成4项先使用后付费许可协议。</w:t>
            </w:r>
          </w:p>
        </w:tc>
      </w:tr>
      <w:tr w14:paraId="27F0FDD3">
        <w:trPr>
          <w:trHeight w:val="567" w:hRule="atLeast"/>
          <w:jc w:val="center"/>
        </w:trPr>
        <w:tc>
          <w:tcPr>
            <w:tcW w:w="780" w:type="dxa"/>
            <w:vMerge w:val="continue"/>
            <w:tcMar>
              <w:top w:w="0" w:type="dxa"/>
              <w:left w:w="57" w:type="dxa"/>
              <w:bottom w:w="0" w:type="dxa"/>
              <w:right w:w="57" w:type="dxa"/>
            </w:tcMar>
            <w:vAlign w:val="center"/>
          </w:tcPr>
          <w:p w14:paraId="61D9651B">
            <w:pPr>
              <w:jc w:val="center"/>
              <w:rPr>
                <w:rFonts w:hint="eastAsia" w:ascii="仿宋_GB2312" w:hAnsi="仿宋_GB2312" w:eastAsia="仿宋_GB2312" w:cs="仿宋_GB2312"/>
                <w:b w:val="0"/>
                <w:bCs w:val="0"/>
                <w:sz w:val="22"/>
              </w:rPr>
            </w:pPr>
          </w:p>
        </w:tc>
        <w:tc>
          <w:tcPr>
            <w:tcW w:w="3538" w:type="dxa"/>
            <w:tcMar>
              <w:top w:w="17" w:type="dxa"/>
              <w:left w:w="57" w:type="dxa"/>
              <w:bottom w:w="17" w:type="dxa"/>
              <w:right w:w="57" w:type="dxa"/>
            </w:tcMar>
            <w:vAlign w:val="center"/>
          </w:tcPr>
          <w:p w14:paraId="48C35D27">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2022年中关村科学城科技应用场景专项申报指南</w:t>
            </w:r>
          </w:p>
        </w:tc>
        <w:tc>
          <w:tcPr>
            <w:tcW w:w="4753" w:type="dxa"/>
            <w:tcMar>
              <w:top w:w="17" w:type="dxa"/>
              <w:left w:w="57" w:type="dxa"/>
              <w:bottom w:w="17" w:type="dxa"/>
              <w:right w:w="57" w:type="dxa"/>
            </w:tcMar>
            <w:vAlign w:val="center"/>
          </w:tcPr>
          <w:p w14:paraId="5F2D8E72">
            <w:pPr>
              <w:jc w:val="left"/>
              <w:rPr>
                <w:rFonts w:hint="eastAsia" w:ascii="仿宋_GB2312" w:hAnsi="仿宋_GB2312" w:eastAsia="仿宋_GB2312" w:cs="仿宋_GB2312"/>
                <w:b w:val="0"/>
                <w:bCs w:val="0"/>
                <w:sz w:val="22"/>
              </w:rPr>
            </w:pPr>
            <w:r>
              <w:rPr>
                <w:rFonts w:hint="eastAsia" w:ascii="仿宋_GB2312" w:hAnsi="仿宋_GB2312" w:eastAsia="仿宋_GB2312" w:cs="仿宋_GB2312"/>
                <w:b w:val="0"/>
                <w:bCs w:val="0"/>
                <w:sz w:val="22"/>
              </w:rPr>
              <w:t>推动8家领军企业与11家企业签署技术集成采购协议；已针对关键核心技术产品入链应用项目和应用场景验证项目开展组织申报。</w:t>
            </w:r>
          </w:p>
        </w:tc>
      </w:tr>
    </w:tbl>
    <w:p w14:paraId="421BA67F">
      <w:pPr>
        <w:adjustRightInd w:val="0"/>
        <w:snapToGrid w:val="0"/>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 w:eastAsia="仿宋_GB2312" w:cs="仿宋"/>
          <w:b w:val="0"/>
          <w:bCs w:val="0"/>
          <w:sz w:val="32"/>
          <w:szCs w:val="32"/>
        </w:rPr>
        <w:t>强化原始创新策源功能</w:t>
      </w:r>
      <w:r>
        <w:rPr>
          <w:rFonts w:hint="eastAsia" w:ascii="仿宋_GB2312" w:hAnsi="仿宋_GB2312" w:eastAsia="仿宋_GB2312" w:cs="仿宋_GB2312"/>
          <w:b w:val="0"/>
          <w:bCs w:val="0"/>
          <w:sz w:val="32"/>
          <w:szCs w:val="32"/>
        </w:rPr>
        <w:t>。聚焦大信息、大健康产业等1</w:t>
      </w: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个前沿领域发布底层技术1</w:t>
      </w:r>
      <w:r>
        <w:rPr>
          <w:rFonts w:ascii="仿宋_GB2312" w:hAnsi="仿宋_GB2312" w:eastAsia="仿宋_GB2312" w:cs="仿宋_GB2312"/>
          <w:b w:val="0"/>
          <w:bCs w:val="0"/>
          <w:sz w:val="32"/>
          <w:szCs w:val="32"/>
        </w:rPr>
        <w:t>25</w:t>
      </w:r>
      <w:r>
        <w:rPr>
          <w:rFonts w:hint="eastAsia" w:ascii="仿宋_GB2312" w:hAnsi="仿宋_GB2312" w:eastAsia="仿宋_GB2312" w:cs="仿宋_GB2312"/>
          <w:b w:val="0"/>
          <w:bCs w:val="0"/>
          <w:sz w:val="32"/>
          <w:szCs w:val="32"/>
        </w:rPr>
        <w:t>项。构建灵活高效的科研成果转化机制，</w:t>
      </w:r>
      <w:r>
        <w:rPr>
          <w:rFonts w:ascii="仿宋_GB2312" w:hAnsi="仿宋_GB2312" w:eastAsia="仿宋_GB2312" w:cs="仿宋_GB2312"/>
          <w:b w:val="0"/>
          <w:bCs w:val="0"/>
          <w:sz w:val="32"/>
          <w:szCs w:val="32"/>
        </w:rPr>
        <w:t>深入推进清华、中科院</w:t>
      </w:r>
      <w:r>
        <w:rPr>
          <w:rFonts w:hint="eastAsia" w:ascii="仿宋_GB2312" w:hAnsi="仿宋_GB2312" w:eastAsia="仿宋_GB2312" w:cs="仿宋_GB2312"/>
          <w:b w:val="0"/>
          <w:bCs w:val="0"/>
          <w:sz w:val="32"/>
          <w:szCs w:val="32"/>
          <w:lang w:eastAsia="zh-CN"/>
        </w:rPr>
        <w:t>等</w:t>
      </w:r>
      <w:r>
        <w:rPr>
          <w:rFonts w:ascii="仿宋_GB2312" w:hAnsi="仿宋_GB2312" w:eastAsia="仿宋_GB2312" w:cs="仿宋_GB2312"/>
          <w:b w:val="0"/>
          <w:bCs w:val="0"/>
          <w:sz w:val="32"/>
          <w:szCs w:val="32"/>
        </w:rPr>
        <w:t>概念验证中心建设。京津冀国家技术创新中心挖掘68个项目，自主培育企业新增融资10.66亿元。</w:t>
      </w:r>
      <w:r>
        <w:rPr>
          <w:rFonts w:hint="eastAsia" w:ascii="仿宋_GB2312" w:hAnsi="仿宋_GB2312" w:eastAsia="仿宋_GB2312" w:cs="仿宋_GB2312"/>
          <w:b w:val="0"/>
          <w:bCs w:val="0"/>
          <w:sz w:val="32"/>
          <w:szCs w:val="32"/>
        </w:rPr>
        <w:t>集聚力量进行原创性引领性科技攻关，国家实验室、国家科研机构、高水平研究型大学、科技领军企业等国家战略科技力量建设不断提速，全球最长量子直接通信距离、世界首台工业级激光器及光源样机、高精度智能线虫“天宝</w:t>
      </w:r>
      <w:r>
        <w:rPr>
          <w:rFonts w:ascii="仿宋_GB2312" w:hAnsi="仿宋_GB2312" w:eastAsia="仿宋_GB2312" w:cs="仿宋_GB2312"/>
          <w:b w:val="0"/>
          <w:bCs w:val="0"/>
          <w:sz w:val="32"/>
          <w:szCs w:val="32"/>
        </w:rPr>
        <w:t>1.0”“九鼎”智算平台</w:t>
      </w:r>
      <w:r>
        <w:rPr>
          <w:rFonts w:hint="eastAsia" w:ascii="仿宋_GB2312" w:hAnsi="仿宋_GB2312" w:eastAsia="仿宋_GB2312" w:cs="仿宋_GB2312"/>
          <w:b w:val="0"/>
          <w:bCs w:val="0"/>
          <w:sz w:val="32"/>
          <w:szCs w:val="32"/>
        </w:rPr>
        <w:t>、大规模对等网络通信技术</w:t>
      </w:r>
      <w:r>
        <w:rPr>
          <w:rFonts w:ascii="仿宋_GB2312" w:hAnsi="仿宋_GB2312" w:eastAsia="仿宋_GB2312" w:cs="仿宋_GB2312"/>
          <w:b w:val="0"/>
          <w:bCs w:val="0"/>
          <w:sz w:val="32"/>
          <w:szCs w:val="32"/>
        </w:rPr>
        <w:t>“若水”</w:t>
      </w:r>
      <w:r>
        <w:rPr>
          <w:rFonts w:hint="eastAsia" w:ascii="仿宋_GB2312" w:hAnsi="仿宋_GB2312" w:eastAsia="仿宋_GB2312" w:cs="仿宋_GB2312"/>
          <w:b w:val="0"/>
          <w:bCs w:val="0"/>
          <w:sz w:val="32"/>
          <w:szCs w:val="32"/>
        </w:rPr>
        <w:t>等重大创新成果不断涌现。</w:t>
      </w:r>
      <w:r>
        <w:rPr>
          <w:rFonts w:hint="eastAsia" w:ascii="仿宋_GB2312" w:hAnsi="仿宋_GB2312" w:eastAsia="仿宋_GB2312" w:cs="仿宋_GB2312"/>
          <w:b w:val="0"/>
          <w:bCs w:val="0"/>
          <w:kern w:val="0"/>
          <w:sz w:val="32"/>
          <w:szCs w:val="32"/>
        </w:rPr>
        <w:t>预计全年全社会研究与试验发展经费支出占地区生产总值的比重达10%以上，园区企业研发投入强度达6.6%，超额完成计划任务。</w:t>
      </w:r>
    </w:p>
    <w:p w14:paraId="4F4418A2">
      <w:pPr>
        <w:adjustRightInd w:val="0"/>
        <w:snapToGrid w:val="0"/>
        <w:spacing w:line="560" w:lineRule="exact"/>
        <w:ind w:firstLine="640" w:firstLineChars="200"/>
        <w:rPr>
          <w:rFonts w:ascii="仿宋_GB2312" w:hAnsi="仿宋_GB2312" w:eastAsia="仿宋_GB2312" w:cs="仿宋_GB2312"/>
          <w:b w:val="0"/>
          <w:bCs w:val="0"/>
          <w:sz w:val="32"/>
          <w:szCs w:val="32"/>
        </w:rPr>
      </w:pPr>
      <w:r>
        <w:rPr>
          <w:rFonts w:hint="eastAsia" w:ascii="仿宋_GB2312" w:hAnsi="黑体" w:eastAsia="仿宋_GB2312"/>
          <w:b w:val="0"/>
          <w:bCs w:val="0"/>
          <w:sz w:val="32"/>
          <w:szCs w:val="32"/>
        </w:rPr>
        <w:t>构建高精尖产业体系</w:t>
      </w:r>
      <w:r>
        <w:rPr>
          <w:rFonts w:hint="eastAsia" w:ascii="仿宋_GB2312" w:hAnsi="仿宋_GB2312" w:eastAsia="仿宋_GB2312" w:cs="仿宋_GB2312"/>
          <w:b w:val="0"/>
          <w:bCs w:val="0"/>
          <w:sz w:val="32"/>
          <w:szCs w:val="32"/>
        </w:rPr>
        <w:t>。强化主导优势产业</w:t>
      </w:r>
      <w:r>
        <w:rPr>
          <w:rFonts w:hint="eastAsia" w:ascii="仿宋_GB2312" w:eastAsia="仿宋_GB2312"/>
          <w:b w:val="0"/>
          <w:bCs w:val="0"/>
          <w:sz w:val="32"/>
          <w:szCs w:val="32"/>
        </w:rPr>
        <w:t>，吸引</w:t>
      </w:r>
      <w:r>
        <w:rPr>
          <w:rFonts w:ascii="仿宋_GB2312" w:hAnsi="仿宋_GB2312" w:eastAsia="仿宋_GB2312" w:cs="仿宋_GB2312"/>
          <w:b w:val="0"/>
          <w:bCs w:val="0"/>
          <w:sz w:val="32"/>
          <w:szCs w:val="32"/>
        </w:rPr>
        <w:t>50余家网络安全企业及平台入驻国家网络安全产业园（海淀）</w:t>
      </w:r>
      <w:r>
        <w:rPr>
          <w:rFonts w:hint="eastAsia" w:ascii="仿宋_GB2312" w:hAnsi="仿宋_GB2312" w:eastAsia="仿宋_GB2312" w:cs="仿宋_GB2312"/>
          <w:b w:val="0"/>
          <w:bCs w:val="0"/>
          <w:sz w:val="32"/>
          <w:szCs w:val="32"/>
        </w:rPr>
        <w:t>，获评首批国家网络安全教育技术产业融合发展试验区；通过集成电路高精尖芯片创新中心一期培育落地灵汐科技、芯视界等</w:t>
      </w:r>
      <w:r>
        <w:rPr>
          <w:rFonts w:ascii="仿宋_GB2312" w:hAnsi="仿宋_GB2312" w:eastAsia="仿宋_GB2312" w:cs="仿宋_GB2312"/>
          <w:b w:val="0"/>
          <w:bCs w:val="0"/>
          <w:sz w:val="32"/>
          <w:szCs w:val="32"/>
        </w:rPr>
        <w:t>9家创新企业</w:t>
      </w:r>
      <w:r>
        <w:rPr>
          <w:rFonts w:hint="eastAsia" w:ascii="仿宋_GB2312" w:hAnsi="仿宋_GB2312" w:eastAsia="仿宋_GB2312" w:cs="仿宋_GB2312"/>
          <w:b w:val="0"/>
          <w:bCs w:val="0"/>
          <w:sz w:val="32"/>
          <w:szCs w:val="32"/>
        </w:rPr>
        <w:t>；助力腾盛华创等十</w:t>
      </w:r>
      <w:r>
        <w:rPr>
          <w:rFonts w:ascii="仿宋_GB2312" w:hAnsi="仿宋_GB2312" w:eastAsia="仿宋_GB2312" w:cs="仿宋_GB2312"/>
          <w:b w:val="0"/>
          <w:bCs w:val="0"/>
          <w:sz w:val="32"/>
          <w:szCs w:val="32"/>
        </w:rPr>
        <w:t>余家企业</w:t>
      </w:r>
      <w:r>
        <w:rPr>
          <w:rFonts w:hint="eastAsia" w:ascii="仿宋_GB2312" w:hAnsi="仿宋_GB2312" w:eastAsia="仿宋_GB2312" w:cs="仿宋_GB2312"/>
          <w:b w:val="0"/>
          <w:bCs w:val="0"/>
          <w:sz w:val="32"/>
          <w:szCs w:val="32"/>
        </w:rPr>
        <w:t>创新药物、</w:t>
      </w:r>
      <w:r>
        <w:rPr>
          <w:rFonts w:ascii="仿宋_GB2312" w:hAnsi="仿宋_GB2312" w:eastAsia="仿宋_GB2312" w:cs="仿宋_GB2312"/>
          <w:b w:val="0"/>
          <w:bCs w:val="0"/>
          <w:sz w:val="32"/>
          <w:szCs w:val="32"/>
        </w:rPr>
        <w:t>医疗器械产品获批上市</w:t>
      </w:r>
      <w:r>
        <w:rPr>
          <w:rFonts w:hint="eastAsia" w:ascii="仿宋_GB2312" w:hAnsi="仿宋_GB2312" w:eastAsia="仿宋_GB2312" w:cs="仿宋_GB2312"/>
          <w:b w:val="0"/>
          <w:bCs w:val="0"/>
          <w:sz w:val="32"/>
          <w:szCs w:val="32"/>
        </w:rPr>
        <w:t>，实现百图生科A</w:t>
      </w:r>
      <w:r>
        <w:rPr>
          <w:rFonts w:ascii="仿宋_GB2312" w:hAnsi="仿宋_GB2312" w:eastAsia="仿宋_GB2312" w:cs="仿宋_GB2312"/>
          <w:b w:val="0"/>
          <w:bCs w:val="0"/>
          <w:sz w:val="32"/>
          <w:szCs w:val="32"/>
        </w:rPr>
        <w:t>I</w:t>
      </w:r>
      <w:r>
        <w:rPr>
          <w:rFonts w:hint="eastAsia" w:ascii="仿宋_GB2312" w:hAnsi="仿宋_GB2312" w:eastAsia="仿宋_GB2312" w:cs="仿宋_GB2312"/>
          <w:b w:val="0"/>
          <w:bCs w:val="0"/>
          <w:sz w:val="32"/>
          <w:szCs w:val="32"/>
        </w:rPr>
        <w:t>新药研发平台、圆因环状</w:t>
      </w:r>
      <w:r>
        <w:rPr>
          <w:rFonts w:ascii="仿宋_GB2312" w:hAnsi="仿宋_GB2312" w:eastAsia="仿宋_GB2312" w:cs="仿宋_GB2312"/>
          <w:b w:val="0"/>
          <w:bCs w:val="0"/>
          <w:sz w:val="32"/>
          <w:szCs w:val="32"/>
        </w:rPr>
        <w:t>RNA疫苗</w:t>
      </w:r>
      <w:r>
        <w:rPr>
          <w:rFonts w:hint="eastAsia" w:ascii="仿宋_GB2312" w:hAnsi="仿宋_GB2312" w:eastAsia="仿宋_GB2312" w:cs="仿宋_GB2312"/>
          <w:b w:val="0"/>
          <w:bCs w:val="0"/>
          <w:sz w:val="32"/>
          <w:szCs w:val="32"/>
        </w:rPr>
        <w:t>等项目落地。持续发展潜力产业，支持国家数字化设计与制造创新中心北京中心、中关村机器人创新中心建设；鼓励空天产业企业建设低轨通信卫星等星座组网，在全球范围布局卫星测控站；搭建智能网联汽车软硬件、安全、测试协同创新平台，</w:t>
      </w:r>
      <w:r>
        <w:rPr>
          <w:rFonts w:ascii="仿宋_GB2312" w:hAnsi="仿宋_GB2312" w:eastAsia="仿宋_GB2312" w:cs="仿宋_GB2312"/>
          <w:b w:val="0"/>
          <w:bCs w:val="0"/>
          <w:sz w:val="32"/>
          <w:szCs w:val="32"/>
        </w:rPr>
        <w:t>年底前</w:t>
      </w:r>
      <w:r>
        <w:rPr>
          <w:rFonts w:hint="eastAsia" w:ascii="仿宋_GB2312" w:hAnsi="仿宋_GB2312" w:eastAsia="仿宋_GB2312" w:cs="仿宋_GB2312"/>
          <w:b w:val="0"/>
          <w:bCs w:val="0"/>
          <w:sz w:val="32"/>
          <w:szCs w:val="32"/>
        </w:rPr>
        <w:t>实现自动驾驶示范区全域</w:t>
      </w:r>
      <w:r>
        <w:rPr>
          <w:rFonts w:ascii="仿宋_GB2312" w:hAnsi="仿宋_GB2312" w:eastAsia="仿宋_GB2312" w:cs="仿宋_GB2312"/>
          <w:b w:val="0"/>
          <w:bCs w:val="0"/>
          <w:sz w:val="32"/>
          <w:szCs w:val="32"/>
        </w:rPr>
        <w:t>330</w:t>
      </w:r>
      <w:r>
        <w:rPr>
          <w:rFonts w:hint="eastAsia" w:ascii="仿宋_GB2312" w:hAnsi="仿宋_GB2312" w:eastAsia="仿宋_GB2312" w:cs="仿宋_GB2312"/>
          <w:b w:val="0"/>
          <w:bCs w:val="0"/>
          <w:sz w:val="32"/>
          <w:szCs w:val="32"/>
        </w:rPr>
        <w:t>余公里测试道路开放；以国际氢能中心为平台，大力培育氢能领军企业，重点突破氢燃料电池、低温液氢等关键核心技术。加速元宇宙等未来产业落子布局，培育壮大全区高质量发展的新增长极。强化标准创新，在通信、人工智能等领域形成</w:t>
      </w:r>
      <w:r>
        <w:rPr>
          <w:rFonts w:ascii="仿宋_GB2312" w:hAnsi="仿宋_GB2312" w:eastAsia="仿宋_GB2312" w:cs="仿宋_GB2312"/>
          <w:b w:val="0"/>
          <w:bCs w:val="0"/>
          <w:sz w:val="32"/>
          <w:szCs w:val="32"/>
        </w:rPr>
        <w:t>3GPP、ITU国际标准</w:t>
      </w:r>
      <w:r>
        <w:rPr>
          <w:rFonts w:hint="eastAsia" w:ascii="仿宋_GB2312" w:hAnsi="仿宋_GB2312" w:eastAsia="仿宋_GB2312" w:cs="仿宋_GB2312"/>
          <w:b w:val="0"/>
          <w:bCs w:val="0"/>
          <w:sz w:val="32"/>
          <w:szCs w:val="32"/>
        </w:rPr>
        <w:t>提案；针对前沿产业建设</w:t>
      </w:r>
      <w:r>
        <w:rPr>
          <w:rFonts w:ascii="仿宋_GB2312" w:hAnsi="仿宋_GB2312" w:eastAsia="仿宋_GB2312" w:cs="仿宋_GB2312"/>
          <w:b w:val="0"/>
          <w:bCs w:val="0"/>
          <w:sz w:val="32"/>
          <w:szCs w:val="32"/>
        </w:rPr>
        <w:t>高水平质量基础设施“一站式”服务平台</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引导科创企业、头部平台开展行业制度化、标准化建设</w:t>
      </w:r>
      <w:r>
        <w:rPr>
          <w:rFonts w:hint="eastAsia" w:ascii="仿宋_GB2312" w:hAnsi="仿宋_GB2312" w:eastAsia="仿宋_GB2312" w:cs="仿宋_GB2312"/>
          <w:b w:val="0"/>
          <w:bCs w:val="0"/>
          <w:sz w:val="32"/>
          <w:szCs w:val="32"/>
        </w:rPr>
        <w:t>。</w:t>
      </w:r>
      <w:r>
        <w:rPr>
          <w:rFonts w:hint="eastAsia" w:ascii="仿宋_GB2312" w:hAnsi="仿宋" w:eastAsia="仿宋_GB2312"/>
          <w:b w:val="0"/>
          <w:bCs w:val="0"/>
          <w:color w:val="000000"/>
          <w:sz w:val="32"/>
          <w:szCs w:val="32"/>
          <w:lang w:val="zh-CN"/>
        </w:rPr>
        <w:t>信息传输、软件和信息技术服务业收入预计</w:t>
      </w:r>
      <w:r>
        <w:rPr>
          <w:rFonts w:hint="eastAsia" w:ascii="仿宋_GB2312" w:hAnsi="仿宋" w:eastAsia="仿宋_GB2312"/>
          <w:b w:val="0"/>
          <w:bCs w:val="0"/>
          <w:color w:val="000000"/>
          <w:sz w:val="32"/>
          <w:szCs w:val="32"/>
        </w:rPr>
        <w:t>1.6万</w:t>
      </w:r>
      <w:r>
        <w:rPr>
          <w:rFonts w:hint="eastAsia" w:ascii="仿宋_GB2312" w:hAnsi="仿宋" w:eastAsia="仿宋_GB2312"/>
          <w:b w:val="0"/>
          <w:bCs w:val="0"/>
          <w:color w:val="000000"/>
          <w:sz w:val="32"/>
          <w:szCs w:val="32"/>
          <w:lang w:val="zh-CN"/>
        </w:rPr>
        <w:t>亿元，增长</w:t>
      </w:r>
      <w:r>
        <w:rPr>
          <w:rFonts w:hint="eastAsia" w:ascii="仿宋_GB2312" w:hAnsi="仿宋" w:eastAsia="仿宋_GB2312"/>
          <w:b w:val="0"/>
          <w:bCs w:val="0"/>
          <w:color w:val="000000"/>
          <w:sz w:val="32"/>
          <w:szCs w:val="32"/>
        </w:rPr>
        <w:t>1</w:t>
      </w:r>
      <w:r>
        <w:rPr>
          <w:rFonts w:hint="eastAsia" w:ascii="仿宋_GB2312" w:hAnsi="仿宋" w:eastAsia="仿宋_GB2312"/>
          <w:b w:val="0"/>
          <w:bCs w:val="0"/>
          <w:color w:val="000000"/>
          <w:sz w:val="32"/>
          <w:szCs w:val="32"/>
          <w:lang w:val="en-US" w:eastAsia="zh-CN"/>
        </w:rPr>
        <w:t>2</w:t>
      </w:r>
      <w:r>
        <w:rPr>
          <w:rFonts w:hint="eastAsia" w:ascii="仿宋_GB2312" w:hAnsi="仿宋" w:eastAsia="仿宋_GB2312"/>
          <w:b w:val="0"/>
          <w:bCs w:val="0"/>
          <w:color w:val="000000"/>
          <w:sz w:val="32"/>
          <w:szCs w:val="32"/>
          <w:lang w:val="zh-CN"/>
        </w:rPr>
        <w:t>%，全市占比</w:t>
      </w:r>
      <w:r>
        <w:rPr>
          <w:rFonts w:hint="eastAsia" w:ascii="仿宋_GB2312" w:hAnsi="仿宋" w:eastAsia="仿宋_GB2312"/>
          <w:b w:val="0"/>
          <w:bCs w:val="0"/>
          <w:color w:val="000000"/>
          <w:sz w:val="32"/>
          <w:szCs w:val="32"/>
        </w:rPr>
        <w:t>65</w:t>
      </w:r>
      <w:r>
        <w:rPr>
          <w:rFonts w:hint="eastAsia" w:ascii="仿宋_GB2312" w:hAnsi="仿宋" w:eastAsia="仿宋_GB2312"/>
          <w:b w:val="0"/>
          <w:bCs w:val="0"/>
          <w:color w:val="000000"/>
          <w:sz w:val="32"/>
          <w:szCs w:val="32"/>
          <w:lang w:val="zh-CN"/>
        </w:rPr>
        <w:t>%。</w:t>
      </w:r>
    </w:p>
    <w:p w14:paraId="32166EF4">
      <w:pPr>
        <w:adjustRightInd w:val="0"/>
        <w:snapToGrid w:val="0"/>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 w:eastAsia="仿宋_GB2312"/>
          <w:b w:val="0"/>
          <w:bCs w:val="0"/>
          <w:sz w:val="32"/>
          <w:szCs w:val="32"/>
        </w:rPr>
        <w:t>创新生态持续升级。加快释放产业空间，推动上地元中心、金隅科技园、农科院、魏北、百花等项目建设，将释放产业空间</w:t>
      </w:r>
      <w:r>
        <w:rPr>
          <w:rFonts w:ascii="仿宋_GB2312" w:hAnsi="仿宋" w:eastAsia="仿宋_GB2312"/>
          <w:b w:val="0"/>
          <w:bCs w:val="0"/>
          <w:sz w:val="32"/>
          <w:szCs w:val="32"/>
        </w:rPr>
        <w:t>103万平</w:t>
      </w:r>
      <w:r>
        <w:rPr>
          <w:rFonts w:hint="eastAsia" w:ascii="仿宋_GB2312" w:hAnsi="仿宋" w:eastAsia="仿宋_GB2312"/>
          <w:b w:val="0"/>
          <w:bCs w:val="0"/>
          <w:sz w:val="32"/>
          <w:szCs w:val="32"/>
        </w:rPr>
        <w:t>方</w:t>
      </w:r>
      <w:r>
        <w:rPr>
          <w:rFonts w:ascii="仿宋_GB2312" w:hAnsi="仿宋" w:eastAsia="仿宋_GB2312"/>
          <w:b w:val="0"/>
          <w:bCs w:val="0"/>
          <w:sz w:val="32"/>
          <w:szCs w:val="32"/>
        </w:rPr>
        <w:t>米。</w:t>
      </w:r>
      <w:r>
        <w:rPr>
          <w:rFonts w:hint="eastAsia" w:ascii="仿宋_GB2312" w:hAnsi="仿宋" w:eastAsia="仿宋_GB2312"/>
          <w:b w:val="0"/>
          <w:bCs w:val="0"/>
          <w:sz w:val="32"/>
          <w:szCs w:val="32"/>
        </w:rPr>
        <w:t>实施“薪火共燃”计划，发挥“双站”平台引才作用，为设站企业引进</w:t>
      </w:r>
      <w:r>
        <w:rPr>
          <w:rFonts w:ascii="仿宋_GB2312" w:hAnsi="仿宋" w:eastAsia="仿宋_GB2312"/>
          <w:b w:val="0"/>
          <w:bCs w:val="0"/>
          <w:sz w:val="32"/>
          <w:szCs w:val="32"/>
        </w:rPr>
        <w:t>覆盖人工智能、医药健康等多个高精尖产业领域</w:t>
      </w:r>
      <w:r>
        <w:rPr>
          <w:rFonts w:hint="eastAsia" w:ascii="仿宋_GB2312" w:hAnsi="仿宋" w:eastAsia="仿宋_GB2312"/>
          <w:b w:val="0"/>
          <w:bCs w:val="0"/>
          <w:sz w:val="32"/>
          <w:szCs w:val="32"/>
        </w:rPr>
        <w:t>人才。</w:t>
      </w:r>
      <w:r>
        <w:rPr>
          <w:rFonts w:hint="eastAsia" w:ascii="仿宋_GB2312" w:hAnsi="宋体" w:eastAsia="仿宋_GB2312"/>
          <w:b w:val="0"/>
          <w:bCs w:val="0"/>
          <w:sz w:val="32"/>
          <w:szCs w:val="32"/>
        </w:rPr>
        <w:t>基于产业链图谱精准开展产业投资，</w:t>
      </w:r>
      <w:r>
        <w:rPr>
          <w:rFonts w:hint="eastAsia" w:ascii="仿宋_GB2312" w:eastAsia="仿宋_GB2312"/>
          <w:b w:val="0"/>
          <w:bCs w:val="0"/>
          <w:sz w:val="32"/>
          <w:szCs w:val="32"/>
        </w:rPr>
        <w:t>511家次企业获得股权投资，占全市42.16%；获投金额490.77亿元，占全市33.46%</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强化知识产权保护和运营，设立</w:t>
      </w:r>
      <w:r>
        <w:rPr>
          <w:rFonts w:ascii="仿宋_GB2312" w:hAnsi="仿宋_GB2312" w:eastAsia="仿宋_GB2312" w:cs="仿宋_GB2312"/>
          <w:b w:val="0"/>
          <w:bCs w:val="0"/>
          <w:sz w:val="32"/>
          <w:szCs w:val="32"/>
        </w:rPr>
        <w:t>1000万元知识产权运营担保基金</w:t>
      </w:r>
      <w:r>
        <w:rPr>
          <w:rFonts w:hint="eastAsia" w:ascii="仿宋_GB2312" w:hAnsi="仿宋_GB2312" w:eastAsia="仿宋_GB2312" w:cs="仿宋_GB2312"/>
          <w:b w:val="0"/>
          <w:bCs w:val="0"/>
          <w:sz w:val="32"/>
          <w:szCs w:val="32"/>
        </w:rPr>
        <w:t>；</w:t>
      </w:r>
      <w:r>
        <w:rPr>
          <w:rFonts w:hint="eastAsia" w:ascii="仿宋_GB2312" w:hAnsi="仿宋" w:eastAsia="仿宋_GB2312"/>
          <w:b w:val="0"/>
          <w:bCs w:val="0"/>
          <w:sz w:val="32"/>
          <w:szCs w:val="32"/>
        </w:rPr>
        <w:t>发行新一期知识产权资产证券化产品，为</w:t>
      </w:r>
      <w:r>
        <w:rPr>
          <w:rFonts w:ascii="仿宋_GB2312" w:hAnsi="仿宋" w:eastAsia="仿宋_GB2312"/>
          <w:b w:val="0"/>
          <w:bCs w:val="0"/>
          <w:sz w:val="32"/>
          <w:szCs w:val="32"/>
        </w:rPr>
        <w:t>15家科技企业融资2.02亿元</w:t>
      </w:r>
      <w:r>
        <w:rPr>
          <w:rFonts w:hint="eastAsia" w:ascii="仿宋_GB2312" w:hAnsi="仿宋" w:eastAsia="仿宋_GB2312"/>
          <w:b w:val="0"/>
          <w:bCs w:val="0"/>
          <w:sz w:val="32"/>
          <w:szCs w:val="32"/>
        </w:rPr>
        <w:t>；</w:t>
      </w:r>
      <w:r>
        <w:rPr>
          <w:rFonts w:ascii="仿宋_GB2312" w:hAnsi="仿宋" w:eastAsia="仿宋_GB2312"/>
          <w:b w:val="0"/>
          <w:bCs w:val="0"/>
          <w:sz w:val="32"/>
          <w:szCs w:val="32"/>
        </w:rPr>
        <w:t>中关村知识产权保护中心服务创新主体专利快速预审4462件，同比增长108.9%</w:t>
      </w:r>
      <w:r>
        <w:rPr>
          <w:rFonts w:hint="eastAsia" w:ascii="仿宋_GB2312" w:hAnsi="仿宋" w:eastAsia="仿宋_GB2312"/>
          <w:b w:val="0"/>
          <w:bCs w:val="0"/>
          <w:sz w:val="32"/>
          <w:szCs w:val="32"/>
        </w:rPr>
        <w:t>；</w:t>
      </w:r>
      <w:r>
        <w:rPr>
          <w:rFonts w:hint="eastAsia" w:ascii="仿宋_GB2312" w:hAnsi="仿宋_GB2312" w:eastAsia="仿宋_GB2312" w:cs="仿宋_GB2312"/>
          <w:b w:val="0"/>
          <w:bCs w:val="0"/>
          <w:sz w:val="32"/>
          <w:szCs w:val="32"/>
        </w:rPr>
        <w:t>获批国家知识产权强市建设示范城市和国家知识产权服务出口基地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“双创”工作连续六年获得国务院通报表扬。预计全年</w:t>
      </w:r>
      <w:r>
        <w:rPr>
          <w:rFonts w:hint="eastAsia" w:ascii="仿宋_GB2312" w:hAnsi="仿宋_GB2312" w:eastAsia="仿宋_GB2312" w:cs="仿宋_GB2312"/>
          <w:b w:val="0"/>
          <w:bCs w:val="0"/>
          <w:kern w:val="0"/>
          <w:sz w:val="32"/>
          <w:szCs w:val="32"/>
        </w:rPr>
        <w:t>技术合同成交额同比增长</w:t>
      </w:r>
      <w:r>
        <w:rPr>
          <w:rFonts w:ascii="仿宋_GB2312" w:hAnsi="仿宋_GB2312" w:eastAsia="仿宋_GB2312" w:cs="仿宋_GB2312"/>
          <w:b w:val="0"/>
          <w:bCs w:val="0"/>
          <w:kern w:val="0"/>
          <w:sz w:val="32"/>
          <w:szCs w:val="32"/>
        </w:rPr>
        <w:t>15%左右，PCT专利申请量达4500余件，</w:t>
      </w:r>
      <w:r>
        <w:rPr>
          <w:rFonts w:hint="eastAsia" w:ascii="仿宋_GB2312" w:hAnsi="仿宋_GB2312" w:eastAsia="仿宋_GB2312" w:cs="仿宋_GB2312"/>
          <w:b w:val="0"/>
          <w:bCs w:val="0"/>
          <w:kern w:val="0"/>
          <w:sz w:val="32"/>
          <w:szCs w:val="32"/>
        </w:rPr>
        <w:t>超额完成计划任务</w:t>
      </w:r>
      <w:r>
        <w:rPr>
          <w:rFonts w:ascii="仿宋_GB2312" w:hAnsi="仿宋" w:eastAsia="仿宋_GB2312"/>
          <w:b w:val="0"/>
          <w:bCs w:val="0"/>
          <w:sz w:val="32"/>
          <w:szCs w:val="32"/>
        </w:rPr>
        <w:t>。</w:t>
      </w:r>
    </w:p>
    <w:p w14:paraId="07EA23E2">
      <w:pPr>
        <w:spacing w:line="560" w:lineRule="exact"/>
        <w:ind w:firstLine="640" w:firstLineChars="200"/>
        <w:rPr>
          <w:rFonts w:ascii="仿宋_GB2312" w:eastAsia="仿宋_GB2312"/>
          <w:b w:val="0"/>
          <w:bCs w:val="0"/>
          <w:sz w:val="32"/>
          <w:szCs w:val="32"/>
        </w:rPr>
      </w:pPr>
      <w:r>
        <w:rPr>
          <w:rFonts w:hint="eastAsia" w:ascii="仿宋_GB2312" w:hAnsi="Calibri" w:eastAsia="仿宋_GB2312"/>
          <w:b w:val="0"/>
          <w:bCs w:val="0"/>
          <w:sz w:val="32"/>
          <w:szCs w:val="32"/>
        </w:rPr>
        <w:t>营商环境不断优化。深入落实市优化营商环境</w:t>
      </w:r>
      <w:r>
        <w:rPr>
          <w:rFonts w:ascii="仿宋_GB2312" w:hAnsi="Calibri" w:eastAsia="仿宋_GB2312"/>
          <w:b w:val="0"/>
          <w:bCs w:val="0"/>
          <w:sz w:val="32"/>
          <w:szCs w:val="32"/>
        </w:rPr>
        <w:t>5.0</w:t>
      </w:r>
      <w:r>
        <w:rPr>
          <w:rFonts w:hint="eastAsia" w:ascii="仿宋_GB2312" w:hAnsi="Calibri" w:eastAsia="仿宋_GB2312"/>
          <w:b w:val="0"/>
          <w:bCs w:val="0"/>
          <w:sz w:val="32"/>
          <w:szCs w:val="32"/>
        </w:rPr>
        <w:t>改革任务，</w:t>
      </w:r>
      <w:r>
        <w:rPr>
          <w:rFonts w:hint="eastAsia" w:ascii="仿宋_GB2312" w:eastAsia="仿宋_GB2312"/>
          <w:b w:val="0"/>
          <w:bCs w:val="0"/>
          <w:sz w:val="32"/>
          <w:szCs w:val="32"/>
        </w:rPr>
        <w:t>在全市率先完成企业住所标准化登记改革，997</w:t>
      </w:r>
      <w:r>
        <w:rPr>
          <w:rFonts w:ascii="仿宋_GB2312" w:eastAsia="仿宋_GB2312"/>
          <w:b w:val="0"/>
          <w:bCs w:val="0"/>
          <w:sz w:val="32"/>
          <w:szCs w:val="32"/>
        </w:rPr>
        <w:t>个产权方</w:t>
      </w:r>
      <w:r>
        <w:rPr>
          <w:rFonts w:hint="eastAsia" w:ascii="仿宋_GB2312" w:eastAsia="仿宋_GB2312"/>
          <w:b w:val="0"/>
          <w:bCs w:val="0"/>
          <w:sz w:val="32"/>
          <w:szCs w:val="32"/>
        </w:rPr>
        <w:t>5021</w:t>
      </w:r>
      <w:r>
        <w:rPr>
          <w:rFonts w:ascii="仿宋_GB2312" w:eastAsia="仿宋_GB2312"/>
          <w:b w:val="0"/>
          <w:bCs w:val="0"/>
          <w:sz w:val="32"/>
          <w:szCs w:val="32"/>
        </w:rPr>
        <w:t>处经营性房产纳入住所标准化数据库。</w:t>
      </w:r>
      <w:r>
        <w:rPr>
          <w:rFonts w:hint="eastAsia" w:ascii="仿宋_GB2312" w:hAnsi="仿宋" w:eastAsia="仿宋_GB2312"/>
          <w:b w:val="0"/>
          <w:bCs w:val="0"/>
          <w:sz w:val="32"/>
          <w:szCs w:val="32"/>
        </w:rPr>
        <w:t>推进区块链技术政务服务场景应用“应上尽上”，</w:t>
      </w:r>
      <w:r>
        <w:rPr>
          <w:rFonts w:hint="eastAsia" w:ascii="仿宋_GB2312" w:hAnsi="仿宋_GB2312" w:eastAsia="仿宋_GB2312"/>
          <w:b w:val="0"/>
          <w:bCs w:val="0"/>
          <w:sz w:val="32"/>
          <w:szCs w:val="32"/>
        </w:rPr>
        <w:t>落地609个区块链场景，</w:t>
      </w:r>
      <w:r>
        <w:rPr>
          <w:rFonts w:hint="eastAsia" w:ascii="仿宋_GB2312" w:hAnsi="仿宋_GB2312" w:eastAsia="仿宋_GB2312" w:cs="仿宋_GB2312"/>
          <w:b w:val="0"/>
          <w:bCs w:val="0"/>
          <w:sz w:val="32"/>
          <w:szCs w:val="32"/>
        </w:rPr>
        <w:t>区级事项100%支持全程网办。</w:t>
      </w:r>
      <w:r>
        <w:rPr>
          <w:rFonts w:hint="eastAsia" w:ascii="仿宋_GB2312" w:eastAsia="仿宋_GB2312"/>
          <w:b w:val="0"/>
          <w:bCs w:val="0"/>
          <w:sz w:val="32"/>
          <w:szCs w:val="32"/>
        </w:rPr>
        <w:t>发出全国首张加载“市场主体身份码”的营业执照以及全市首张证照合一营业执照、首例药店领域五证联办证照。优化个体工商户“一站式”开办服务，全市首家台胞个体户落户海淀。成功申报全国首批网络市场监管与服务示范区、商业秘密保护创新试点区，被国务院评为推进质量强国建设工作成效突出地方。</w:t>
      </w:r>
      <w:r>
        <w:rPr>
          <w:rFonts w:hint="eastAsia" w:ascii="仿宋_GB2312" w:hAnsi="仿宋" w:eastAsia="仿宋_GB2312"/>
          <w:b w:val="0"/>
          <w:bCs w:val="0"/>
          <w:sz w:val="32"/>
          <w:szCs w:val="32"/>
        </w:rPr>
        <w:t>市场主体活力迸发，</w:t>
      </w:r>
      <w:r>
        <w:rPr>
          <w:rFonts w:hint="eastAsia" w:ascii="仿宋_GB2312" w:hAnsi="Courier New" w:eastAsia="仿宋_GB2312"/>
          <w:b w:val="0"/>
          <w:bCs w:val="0"/>
          <w:snapToGrid w:val="0"/>
          <w:sz w:val="32"/>
          <w:szCs w:val="32"/>
        </w:rPr>
        <w:t>全年新设企业3.</w:t>
      </w:r>
      <w:r>
        <w:rPr>
          <w:rFonts w:hint="eastAsia" w:ascii="仿宋_GB2312" w:hAnsi="Courier New" w:eastAsia="仿宋_GB2312"/>
          <w:b w:val="0"/>
          <w:bCs w:val="0"/>
          <w:snapToGrid w:val="0"/>
          <w:sz w:val="32"/>
          <w:szCs w:val="32"/>
          <w:lang w:val="en-US" w:eastAsia="zh-CN"/>
        </w:rPr>
        <w:t>5</w:t>
      </w:r>
      <w:r>
        <w:rPr>
          <w:rFonts w:hint="eastAsia" w:ascii="仿宋_GB2312" w:hAnsi="Courier New" w:eastAsia="仿宋_GB2312"/>
          <w:b w:val="0"/>
          <w:bCs w:val="0"/>
          <w:snapToGrid w:val="0"/>
          <w:sz w:val="32"/>
          <w:szCs w:val="32"/>
        </w:rPr>
        <w:t>万户左右，增速</w:t>
      </w:r>
      <w:r>
        <w:rPr>
          <w:rFonts w:hint="eastAsia" w:ascii="仿宋_GB2312" w:hAnsi="Courier New" w:eastAsia="仿宋_GB2312"/>
          <w:b w:val="0"/>
          <w:bCs w:val="0"/>
          <w:snapToGrid w:val="0"/>
          <w:sz w:val="32"/>
          <w:szCs w:val="32"/>
          <w:lang w:val="en-US" w:eastAsia="zh-CN"/>
        </w:rPr>
        <w:t>58.5</w:t>
      </w:r>
      <w:r>
        <w:rPr>
          <w:rFonts w:hint="eastAsia" w:ascii="仿宋_GB2312" w:hAnsi="Courier New" w:eastAsia="仿宋_GB2312"/>
          <w:b w:val="0"/>
          <w:bCs w:val="0"/>
          <w:snapToGrid w:val="0"/>
          <w:sz w:val="32"/>
          <w:szCs w:val="32"/>
        </w:rPr>
        <w:t>%；</w:t>
      </w:r>
      <w:r>
        <w:rPr>
          <w:rFonts w:hint="eastAsia" w:ascii="仿宋_GB2312" w:hAnsi="仿宋" w:eastAsia="仿宋_GB2312"/>
          <w:b w:val="0"/>
          <w:bCs w:val="0"/>
          <w:sz w:val="32"/>
          <w:szCs w:val="32"/>
        </w:rPr>
        <w:t>新增上市企业</w:t>
      </w:r>
      <w:r>
        <w:rPr>
          <w:rFonts w:ascii="仿宋_GB2312" w:hAnsi="仿宋" w:eastAsia="仿宋_GB2312"/>
          <w:b w:val="0"/>
          <w:bCs w:val="0"/>
          <w:sz w:val="32"/>
          <w:szCs w:val="32"/>
        </w:rPr>
        <w:t>1</w:t>
      </w:r>
      <w:r>
        <w:rPr>
          <w:rFonts w:hint="eastAsia" w:ascii="仿宋_GB2312" w:hAnsi="仿宋" w:eastAsia="仿宋_GB2312"/>
          <w:b w:val="0"/>
          <w:bCs w:val="0"/>
          <w:sz w:val="32"/>
          <w:szCs w:val="32"/>
        </w:rPr>
        <w:t>9</w:t>
      </w:r>
      <w:r>
        <w:rPr>
          <w:rFonts w:ascii="仿宋_GB2312" w:hAnsi="仿宋" w:eastAsia="仿宋_GB2312"/>
          <w:b w:val="0"/>
          <w:bCs w:val="0"/>
          <w:sz w:val="32"/>
          <w:szCs w:val="32"/>
        </w:rPr>
        <w:t>家，募资173亿元，上市企业总数26</w:t>
      </w:r>
      <w:r>
        <w:rPr>
          <w:rFonts w:hint="eastAsia" w:ascii="仿宋_GB2312" w:hAnsi="仿宋" w:eastAsia="仿宋_GB2312"/>
          <w:b w:val="0"/>
          <w:bCs w:val="0"/>
          <w:sz w:val="32"/>
          <w:szCs w:val="32"/>
        </w:rPr>
        <w:t>8</w:t>
      </w:r>
      <w:r>
        <w:rPr>
          <w:rFonts w:ascii="仿宋_GB2312" w:hAnsi="仿宋" w:eastAsia="仿宋_GB2312"/>
          <w:b w:val="0"/>
          <w:bCs w:val="0"/>
          <w:sz w:val="32"/>
          <w:szCs w:val="32"/>
        </w:rPr>
        <w:t>家，居全国地级市（区）之首。</w:t>
      </w:r>
    </w:p>
    <w:p w14:paraId="60E30237">
      <w:pPr>
        <w:pStyle w:val="4"/>
        <w:keepNext w:val="0"/>
        <w:keepLines w:val="0"/>
        <w:adjustRightInd w:val="0"/>
        <w:snapToGrid w:val="0"/>
        <w:ind w:firstLine="640"/>
        <w:rPr>
          <w:rFonts w:ascii="楷体_GB2312" w:eastAsia="楷体_GB2312"/>
          <w:b w:val="0"/>
          <w:bCs w:val="0"/>
        </w:rPr>
      </w:pPr>
      <w:r>
        <w:rPr>
          <w:rFonts w:hint="eastAsia" w:ascii="楷体_GB2312" w:eastAsia="楷体_GB2312"/>
          <w:b w:val="0"/>
          <w:bCs w:val="0"/>
        </w:rPr>
        <w:t>（四）扎实推进科学城北区规划建设和南区更新治理，城市宜居、韧性、智慧品质稳步提升</w:t>
      </w:r>
    </w:p>
    <w:p w14:paraId="595AD9C1">
      <w:pPr>
        <w:adjustRightInd w:val="0"/>
        <w:snapToGrid w:val="0"/>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中关村科学城北区建设实现新突破。全年安排建设项目</w:t>
      </w:r>
      <w:r>
        <w:rPr>
          <w:rFonts w:ascii="仿宋_GB2312" w:hAnsi="仿宋_GB2312" w:eastAsia="仿宋_GB2312" w:cs="仿宋_GB2312"/>
          <w:b w:val="0"/>
          <w:bCs w:val="0"/>
          <w:sz w:val="32"/>
          <w:szCs w:val="32"/>
        </w:rPr>
        <w:t>134</w:t>
      </w:r>
      <w:r>
        <w:rPr>
          <w:rFonts w:hint="eastAsia" w:ascii="仿宋_GB2312" w:hAnsi="仿宋_GB2312" w:eastAsia="仿宋_GB2312" w:cs="仿宋_GB2312"/>
          <w:b w:val="0"/>
          <w:bCs w:val="0"/>
          <w:sz w:val="32"/>
          <w:szCs w:val="32"/>
        </w:rPr>
        <w:t>个，</w:t>
      </w:r>
      <w:r>
        <w:rPr>
          <w:rFonts w:ascii="仿宋_GB2312" w:hAnsi="仿宋_GB2312" w:eastAsia="仿宋_GB2312" w:cs="仿宋_GB2312"/>
          <w:b w:val="0"/>
          <w:bCs w:val="0"/>
          <w:sz w:val="32"/>
          <w:szCs w:val="32"/>
        </w:rPr>
        <w:t>开复工527万平方米</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竣工141万平方米。</w:t>
      </w:r>
      <w:r>
        <w:rPr>
          <w:rFonts w:hint="eastAsia" w:ascii="仿宋_GB2312" w:hAnsi="黑体" w:eastAsia="仿宋_GB2312"/>
          <w:b w:val="0"/>
          <w:bCs w:val="0"/>
          <w:sz w:val="32"/>
          <w:szCs w:val="32"/>
        </w:rPr>
        <w:t>高标准编制科学城</w:t>
      </w:r>
      <w:r>
        <w:rPr>
          <w:rFonts w:hint="eastAsia" w:ascii="仿宋_GB2312" w:hAnsi="仿宋_GB2312" w:eastAsia="仿宋_GB2312" w:cs="仿宋_GB2312"/>
          <w:b w:val="0"/>
          <w:bCs w:val="0"/>
          <w:sz w:val="32"/>
          <w:szCs w:val="32"/>
        </w:rPr>
        <w:t>北区</w:t>
      </w:r>
      <w:r>
        <w:rPr>
          <w:rFonts w:ascii="仿宋_GB2312" w:hAnsi="仿宋_GB2312" w:eastAsia="仿宋_GB2312" w:cs="仿宋_GB2312"/>
          <w:b w:val="0"/>
          <w:bCs w:val="0"/>
          <w:sz w:val="32"/>
          <w:szCs w:val="32"/>
        </w:rPr>
        <w:t>12个街区</w:t>
      </w:r>
      <w:bookmarkStart w:id="0" w:name="_Hlk117890114"/>
      <w:r>
        <w:rPr>
          <w:rFonts w:hint="eastAsia" w:ascii="仿宋_GB2312" w:hAnsi="仿宋_GB2312" w:eastAsia="仿宋_GB2312" w:cs="仿宋_GB2312"/>
          <w:b w:val="0"/>
          <w:bCs w:val="0"/>
          <w:sz w:val="32"/>
          <w:szCs w:val="32"/>
        </w:rPr>
        <w:t>控制性详细规划</w:t>
      </w:r>
      <w:bookmarkEnd w:id="0"/>
      <w:r>
        <w:rPr>
          <w:rFonts w:hint="eastAsia" w:ascii="仿宋_GB2312" w:hAnsi="仿宋_GB2312" w:eastAsia="仿宋_GB2312" w:cs="仿宋_GB2312"/>
          <w:b w:val="0"/>
          <w:bCs w:val="0"/>
          <w:sz w:val="32"/>
          <w:szCs w:val="32"/>
        </w:rPr>
        <w:t>。压茬推进配套设施建设，西埠头、北安河等</w:t>
      </w:r>
      <w:r>
        <w:rPr>
          <w:rFonts w:ascii="仿宋_GB2312" w:hAnsi="仿宋_GB2312" w:eastAsia="仿宋_GB2312" w:cs="仿宋_GB2312"/>
          <w:b w:val="0"/>
          <w:bCs w:val="0"/>
          <w:sz w:val="32"/>
          <w:szCs w:val="32"/>
        </w:rPr>
        <w:t>110千伏输变电工程</w:t>
      </w:r>
      <w:r>
        <w:rPr>
          <w:rFonts w:hint="eastAsia" w:ascii="仿宋_GB2312" w:hAnsi="仿宋_GB2312" w:eastAsia="仿宋_GB2312" w:cs="仿宋_GB2312"/>
          <w:b w:val="0"/>
          <w:bCs w:val="0"/>
          <w:sz w:val="32"/>
          <w:szCs w:val="32"/>
        </w:rPr>
        <w:t>开工，稻香湖再生水厂（二期）、北部医疗中心、苏家坨中心医院结构施工；清华附中永丰学校小学部、中关村一小科学城分校等建成开学。加快推进城乡融合发展，启动温泉村、白家疃村非宅腾退，西小营村宅基地腾退完成</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太舟坞二期安置房完成交房，上庄</w:t>
      </w:r>
      <w:r>
        <w:rPr>
          <w:rFonts w:ascii="仿宋_GB2312" w:hAnsi="仿宋_GB2312" w:eastAsia="仿宋_GB2312" w:cs="仿宋_GB2312"/>
          <w:b w:val="0"/>
          <w:bCs w:val="0"/>
          <w:sz w:val="32"/>
          <w:szCs w:val="32"/>
        </w:rPr>
        <w:t>C02、西北旺B3安置房</w:t>
      </w:r>
      <w:r>
        <w:rPr>
          <w:rFonts w:hint="eastAsia" w:ascii="仿宋_GB2312" w:hAnsi="仿宋_GB2312" w:eastAsia="仿宋_GB2312" w:cs="仿宋_GB2312"/>
          <w:b w:val="0"/>
          <w:bCs w:val="0"/>
          <w:sz w:val="32"/>
          <w:szCs w:val="32"/>
        </w:rPr>
        <w:t>完善竣备手续。有序推进美丽乡村建设，完成东马坊村、车耳营村美丽乡村建设，永泰庄等9个村美丽乡村建设工程主体完工，21个保留村供排水工程加快实施。</w:t>
      </w:r>
      <w:r>
        <w:rPr>
          <w:rFonts w:hint="eastAsia" w:ascii="仿宋_GB2312" w:eastAsia="仿宋_GB2312"/>
          <w:b w:val="0"/>
          <w:bCs w:val="0"/>
          <w:sz w:val="32"/>
          <w:szCs w:val="32"/>
        </w:rPr>
        <w:t>城乡结合部重点村综合整治工作机制进一步理顺，“一村一策”加强村庄人居环境、秩序安全、房屋出租整体管控</w:t>
      </w:r>
      <w:r>
        <w:rPr>
          <w:rFonts w:hint="eastAsia" w:ascii="仿宋_GB2312" w:hAnsi="仿宋_GB2312" w:eastAsia="仿宋_GB2312" w:cs="仿宋_GB2312"/>
          <w:b w:val="0"/>
          <w:bCs w:val="0"/>
          <w:sz w:val="32"/>
          <w:szCs w:val="32"/>
        </w:rPr>
        <w:t>。</w:t>
      </w:r>
    </w:p>
    <w:p w14:paraId="4C945E4C">
      <w:pPr>
        <w:overflowPunct w:val="0"/>
        <w:adjustRightInd w:val="0"/>
        <w:snapToGrid w:val="0"/>
        <w:spacing w:line="560" w:lineRule="exact"/>
        <w:ind w:firstLine="640" w:firstLineChars="200"/>
        <w:rPr>
          <w:b w:val="0"/>
          <w:bCs w:val="0"/>
          <w:sz w:val="32"/>
          <w:szCs w:val="32"/>
        </w:rPr>
      </w:pPr>
      <w:r>
        <w:rPr>
          <w:rFonts w:hint="eastAsia" w:ascii="仿宋_GB2312" w:hAnsi="仿宋" w:eastAsia="仿宋_GB2312"/>
          <w:b w:val="0"/>
          <w:bCs w:val="0"/>
          <w:sz w:val="32"/>
          <w:szCs w:val="32"/>
        </w:rPr>
        <w:t>科学城南区</w:t>
      </w:r>
      <w:r>
        <w:rPr>
          <w:rFonts w:hint="eastAsia" w:ascii="仿宋_GB2312" w:hAnsi="宋体" w:eastAsia="仿宋_GB2312" w:cs="Calibri"/>
          <w:b w:val="0"/>
          <w:bCs w:val="0"/>
          <w:sz w:val="32"/>
          <w:szCs w:val="32"/>
        </w:rPr>
        <w:t>更新提质</w:t>
      </w:r>
      <w:r>
        <w:rPr>
          <w:rFonts w:hint="eastAsia" w:ascii="仿宋_GB2312" w:hAnsi="仿宋" w:eastAsia="仿宋_GB2312"/>
          <w:b w:val="0"/>
          <w:bCs w:val="0"/>
          <w:sz w:val="32"/>
          <w:szCs w:val="32"/>
        </w:rPr>
        <w:t>。</w:t>
      </w:r>
      <w:r>
        <w:rPr>
          <w:rFonts w:ascii="仿宋_GB2312" w:hAnsi="仿宋_GB2312" w:eastAsia="仿宋_GB2312" w:cs="仿宋_GB2312"/>
          <w:b w:val="0"/>
          <w:bCs w:val="0"/>
          <w:sz w:val="32"/>
          <w:szCs w:val="32"/>
        </w:rPr>
        <w:t>三山五园艺术中心主体结构完工</w:t>
      </w:r>
      <w:r>
        <w:rPr>
          <w:rFonts w:hint="eastAsia" w:ascii="仿宋_GB2312" w:hAnsi="仿宋_GB2312" w:eastAsia="仿宋_GB2312" w:cs="仿宋_GB2312"/>
          <w:b w:val="0"/>
          <w:bCs w:val="0"/>
          <w:sz w:val="32"/>
          <w:szCs w:val="32"/>
        </w:rPr>
        <w:t>；</w:t>
      </w:r>
      <w:r>
        <w:rPr>
          <w:rFonts w:hint="eastAsia" w:ascii="仿宋_GB2312" w:hAnsi="仿宋" w:eastAsia="仿宋_GB2312"/>
          <w:b w:val="0"/>
          <w:bCs w:val="0"/>
          <w:sz w:val="32"/>
          <w:szCs w:val="32"/>
        </w:rPr>
        <w:t>全面完成福缘门和挂甲屯一期腾退改造；启动</w:t>
      </w:r>
      <w:r>
        <w:rPr>
          <w:rFonts w:hint="eastAsia" w:ascii="仿宋_GB2312" w:eastAsia="仿宋_GB2312"/>
          <w:b w:val="0"/>
          <w:bCs w:val="0"/>
          <w:sz w:val="32"/>
          <w:szCs w:val="32"/>
        </w:rPr>
        <w:t>肖家河和</w:t>
      </w:r>
      <w:r>
        <w:rPr>
          <w:rFonts w:hint="eastAsia" w:ascii="仿宋_GB2312" w:hAnsi="仿宋" w:eastAsia="仿宋_GB2312"/>
          <w:b w:val="0"/>
          <w:bCs w:val="0"/>
          <w:sz w:val="32"/>
          <w:szCs w:val="32"/>
        </w:rPr>
        <w:t>挂甲屯（二期）环境整治项目；</w:t>
      </w:r>
      <w:r>
        <w:rPr>
          <w:rFonts w:hint="eastAsia" w:ascii="仿宋_GB2312" w:eastAsia="仿宋_GB2312"/>
          <w:b w:val="0"/>
          <w:bCs w:val="0"/>
          <w:sz w:val="32"/>
          <w:szCs w:val="32"/>
        </w:rPr>
        <w:t>完成东西红门、功德寺等区域绿化工程，</w:t>
      </w:r>
      <w:r>
        <w:rPr>
          <w:rFonts w:hint="eastAsia" w:ascii="仿宋_GB2312" w:hAnsi="仿宋" w:eastAsia="仿宋_GB2312"/>
          <w:b w:val="0"/>
          <w:bCs w:val="0"/>
          <w:sz w:val="32"/>
          <w:szCs w:val="32"/>
        </w:rPr>
        <w:t>三山五园地区品质显著提高</w:t>
      </w:r>
      <w:r>
        <w:rPr>
          <w:rFonts w:hint="eastAsia" w:ascii="仿宋_GB2312" w:eastAsia="仿宋_GB2312"/>
          <w:b w:val="0"/>
          <w:bCs w:val="0"/>
          <w:sz w:val="32"/>
          <w:szCs w:val="32"/>
        </w:rPr>
        <w:t>。城市更新取得积极成果，</w:t>
      </w:r>
      <w:r>
        <w:rPr>
          <w:rFonts w:hint="eastAsia" w:ascii="仿宋_GB2312" w:hAnsi="仿宋_GB2312" w:eastAsia="仿宋_GB2312" w:cs="仿宋_GB2312"/>
          <w:b w:val="0"/>
          <w:bCs w:val="0"/>
          <w:sz w:val="32"/>
          <w:szCs w:val="32"/>
        </w:rPr>
        <w:t>完成</w:t>
      </w:r>
      <w:r>
        <w:rPr>
          <w:rFonts w:hint="eastAsia" w:ascii="仿宋_GB2312" w:hAnsi="宋体" w:eastAsia="仿宋_GB2312" w:cs="Calibri"/>
          <w:b w:val="0"/>
          <w:bCs w:val="0"/>
          <w:sz w:val="32"/>
          <w:szCs w:val="32"/>
        </w:rPr>
        <w:t>中坤广场、畅春园食街等30</w:t>
      </w:r>
      <w:r>
        <w:rPr>
          <w:rFonts w:hint="eastAsia" w:ascii="仿宋_GB2312" w:hAnsi="仿宋" w:eastAsia="仿宋_GB2312"/>
          <w:b w:val="0"/>
          <w:bCs w:val="0"/>
          <w:sz w:val="32"/>
          <w:szCs w:val="32"/>
        </w:rPr>
        <w:t>个、275万平方米城市更新重点项目，其中</w:t>
      </w:r>
      <w:r>
        <w:rPr>
          <w:rFonts w:hint="eastAsia" w:ascii="仿宋_GB2312" w:hAnsi="仿宋_GB2312" w:eastAsia="仿宋_GB2312" w:cs="仿宋_GB2312"/>
          <w:b w:val="0"/>
          <w:bCs w:val="0"/>
          <w:sz w:val="32"/>
          <w:szCs w:val="32"/>
        </w:rPr>
        <w:t>实施</w:t>
      </w:r>
      <w:r>
        <w:rPr>
          <w:rFonts w:hint="eastAsia" w:ascii="仿宋_GB2312" w:hAnsi="仿宋" w:eastAsia="仿宋_GB2312"/>
          <w:b w:val="0"/>
          <w:bCs w:val="0"/>
          <w:sz w:val="32"/>
          <w:szCs w:val="32"/>
        </w:rPr>
        <w:t>西三环北路</w:t>
      </w:r>
      <w:r>
        <w:rPr>
          <w:rFonts w:ascii="仿宋_GB2312" w:hAnsi="仿宋" w:eastAsia="仿宋_GB2312"/>
          <w:b w:val="0"/>
          <w:bCs w:val="0"/>
          <w:sz w:val="32"/>
          <w:szCs w:val="32"/>
        </w:rPr>
        <w:t>82号院等</w:t>
      </w:r>
      <w:r>
        <w:rPr>
          <w:rFonts w:ascii="仿宋_GB2312" w:hAnsi="仿宋_GB2312" w:eastAsia="仿宋_GB2312" w:cs="仿宋_GB2312"/>
          <w:b w:val="0"/>
          <w:bCs w:val="0"/>
          <w:sz w:val="32"/>
          <w:szCs w:val="32"/>
        </w:rPr>
        <w:t>19个小区74.2万平</w:t>
      </w:r>
      <w:r>
        <w:rPr>
          <w:rFonts w:hint="eastAsia" w:ascii="仿宋_GB2312" w:hAnsi="仿宋_GB2312" w:eastAsia="仿宋_GB2312" w:cs="仿宋_GB2312"/>
          <w:b w:val="0"/>
          <w:bCs w:val="0"/>
          <w:sz w:val="32"/>
          <w:szCs w:val="32"/>
        </w:rPr>
        <w:t>方</w:t>
      </w:r>
      <w:r>
        <w:rPr>
          <w:rFonts w:ascii="仿宋_GB2312" w:hAnsi="仿宋_GB2312" w:eastAsia="仿宋_GB2312" w:cs="仿宋_GB2312"/>
          <w:b w:val="0"/>
          <w:bCs w:val="0"/>
          <w:sz w:val="32"/>
          <w:szCs w:val="32"/>
        </w:rPr>
        <w:t>米</w:t>
      </w:r>
      <w:r>
        <w:rPr>
          <w:rFonts w:hint="eastAsia" w:ascii="仿宋_GB2312" w:hAnsi="仿宋" w:eastAsia="仿宋_GB2312"/>
          <w:b w:val="0"/>
          <w:bCs w:val="0"/>
          <w:sz w:val="32"/>
          <w:szCs w:val="32"/>
        </w:rPr>
        <w:t>老旧小区改造；新启动</w:t>
      </w:r>
      <w:r>
        <w:rPr>
          <w:rFonts w:ascii="仿宋_GB2312" w:hAnsi="仿宋_GB2312" w:eastAsia="仿宋_GB2312" w:cs="仿宋_GB2312"/>
          <w:b w:val="0"/>
          <w:bCs w:val="0"/>
          <w:sz w:val="32"/>
          <w:szCs w:val="32"/>
        </w:rPr>
        <w:t>55个小区、160.9万平</w:t>
      </w:r>
      <w:r>
        <w:rPr>
          <w:rFonts w:hint="eastAsia" w:ascii="仿宋_GB2312" w:hAnsi="仿宋_GB2312" w:eastAsia="仿宋_GB2312" w:cs="仿宋_GB2312"/>
          <w:b w:val="0"/>
          <w:bCs w:val="0"/>
          <w:sz w:val="32"/>
          <w:szCs w:val="32"/>
        </w:rPr>
        <w:t>方</w:t>
      </w:r>
      <w:r>
        <w:rPr>
          <w:rFonts w:ascii="仿宋_GB2312" w:hAnsi="仿宋_GB2312" w:eastAsia="仿宋_GB2312" w:cs="仿宋_GB2312"/>
          <w:b w:val="0"/>
          <w:bCs w:val="0"/>
          <w:sz w:val="32"/>
          <w:szCs w:val="32"/>
        </w:rPr>
        <w:t>米</w:t>
      </w:r>
      <w:r>
        <w:rPr>
          <w:rFonts w:hint="eastAsia" w:ascii="仿宋_GB2312" w:hAnsi="仿宋_GB2312" w:eastAsia="仿宋_GB2312" w:cs="仿宋_GB2312"/>
          <w:b w:val="0"/>
          <w:bCs w:val="0"/>
          <w:sz w:val="32"/>
          <w:szCs w:val="32"/>
        </w:rPr>
        <w:t>改造；</w:t>
      </w:r>
      <w:r>
        <w:rPr>
          <w:rFonts w:hint="eastAsia" w:ascii="仿宋_GB2312" w:hAnsi="仿宋" w:eastAsia="仿宋_GB2312"/>
          <w:b w:val="0"/>
          <w:bCs w:val="0"/>
          <w:sz w:val="32"/>
          <w:szCs w:val="32"/>
        </w:rPr>
        <w:t>开展中关村东区、安宁庄后街13号院、首都体育学院、交大东路58号院等危旧楼房改建。全力推进一道绿隔地区</w:t>
      </w:r>
      <w:r>
        <w:rPr>
          <w:rStyle w:val="26"/>
          <w:rFonts w:ascii="仿宋_GB2312" w:hAnsi="仿宋" w:eastAsia="仿宋_GB2312"/>
          <w:b w:val="0"/>
          <w:bCs w:val="0"/>
          <w:sz w:val="32"/>
          <w:szCs w:val="32"/>
        </w:rPr>
        <w:footnoteReference w:id="2"/>
      </w:r>
      <w:r>
        <w:rPr>
          <w:rFonts w:hint="eastAsia" w:ascii="仿宋_GB2312" w:hAnsi="仿宋" w:eastAsia="仿宋_GB2312"/>
          <w:b w:val="0"/>
          <w:bCs w:val="0"/>
          <w:sz w:val="32"/>
          <w:szCs w:val="32"/>
        </w:rPr>
        <w:t>城市化建设，初步完成东升镇、海淀镇、四季青镇“四本账”</w:t>
      </w:r>
      <w:r>
        <w:rPr>
          <w:rStyle w:val="26"/>
          <w:rFonts w:hint="eastAsia" w:ascii="仿宋_GB2312" w:hAnsi="仿宋" w:eastAsia="仿宋_GB2312"/>
          <w:b w:val="0"/>
          <w:bCs w:val="0"/>
          <w:sz w:val="32"/>
          <w:szCs w:val="32"/>
        </w:rPr>
        <w:footnoteReference w:id="3"/>
      </w:r>
      <w:r>
        <w:rPr>
          <w:rFonts w:hint="eastAsia" w:ascii="仿宋_GB2312" w:hAnsi="仿宋" w:eastAsia="仿宋_GB2312"/>
          <w:b w:val="0"/>
          <w:bCs w:val="0"/>
          <w:sz w:val="32"/>
          <w:szCs w:val="32"/>
        </w:rPr>
        <w:t>测算及镇域规划实施方案编制</w:t>
      </w:r>
      <w:r>
        <w:rPr>
          <w:rFonts w:hint="eastAsia" w:ascii="仿宋_GB2312" w:eastAsia="仿宋_GB2312"/>
          <w:b w:val="0"/>
          <w:bCs w:val="0"/>
          <w:sz w:val="32"/>
          <w:szCs w:val="32"/>
        </w:rPr>
        <w:t>。</w:t>
      </w:r>
    </w:p>
    <w:p w14:paraId="12161965">
      <w:pPr>
        <w:pStyle w:val="42"/>
        <w:spacing w:line="560" w:lineRule="exact"/>
        <w:ind w:firstLine="643"/>
        <w:rPr>
          <w:rFonts w:ascii="仿宋_GB2312" w:hAnsi="宋体" w:eastAsia="仿宋_GB2312"/>
          <w:b w:val="0"/>
          <w:bCs w:val="0"/>
          <w:sz w:val="32"/>
          <w:szCs w:val="32"/>
        </w:rPr>
      </w:pPr>
      <w:r>
        <w:rPr>
          <w:rFonts w:hint="eastAsia" w:ascii="仿宋_GB2312" w:hAnsi="宋体" w:eastAsia="仿宋_GB2312"/>
          <w:b w:val="0"/>
          <w:bCs w:val="0"/>
          <w:sz w:val="32"/>
          <w:szCs w:val="32"/>
        </w:rPr>
        <w:t>交通保障能力持续提升。北部地区主干路网骨架基本建成，翠湖东路、翠湖南路、上庄东路、邓庄南路等主干路实现通车。新增道路通车里程</w:t>
      </w:r>
      <w:r>
        <w:rPr>
          <w:rFonts w:ascii="仿宋_GB2312" w:hAnsi="宋体" w:eastAsia="仿宋_GB2312"/>
          <w:b w:val="0"/>
          <w:bCs w:val="0"/>
          <w:sz w:val="32"/>
          <w:szCs w:val="32"/>
        </w:rPr>
        <w:t>9.8公里</w:t>
      </w:r>
      <w:r>
        <w:rPr>
          <w:rFonts w:hint="eastAsia" w:ascii="仿宋_GB2312" w:hAnsi="宋体" w:eastAsia="仿宋_GB2312"/>
          <w:b w:val="0"/>
          <w:bCs w:val="0"/>
          <w:sz w:val="32"/>
          <w:szCs w:val="32"/>
        </w:rPr>
        <w:t>，超额完成年度任务。地铁</w:t>
      </w:r>
      <w:r>
        <w:rPr>
          <w:rFonts w:ascii="仿宋_GB2312" w:hAnsi="宋体" w:eastAsia="仿宋_GB2312"/>
          <w:b w:val="0"/>
          <w:bCs w:val="0"/>
          <w:sz w:val="32"/>
          <w:szCs w:val="32"/>
        </w:rPr>
        <w:t>12号线</w:t>
      </w:r>
      <w:r>
        <w:rPr>
          <w:rFonts w:hint="eastAsia" w:ascii="仿宋_GB2312" w:hAnsi="宋体" w:eastAsia="仿宋_GB2312"/>
          <w:b w:val="0"/>
          <w:bCs w:val="0"/>
          <w:sz w:val="32"/>
          <w:szCs w:val="32"/>
        </w:rPr>
        <w:t>等</w:t>
      </w:r>
      <w:r>
        <w:rPr>
          <w:rFonts w:ascii="仿宋_GB2312" w:hAnsi="宋体" w:eastAsia="仿宋_GB2312"/>
          <w:b w:val="0"/>
          <w:bCs w:val="0"/>
          <w:sz w:val="32"/>
          <w:szCs w:val="32"/>
        </w:rPr>
        <w:t>5条轨道建设持续推进</w:t>
      </w:r>
      <w:r>
        <w:rPr>
          <w:rFonts w:hint="eastAsia" w:ascii="仿宋_GB2312" w:hAnsi="宋体" w:eastAsia="仿宋_GB2312"/>
          <w:b w:val="0"/>
          <w:bCs w:val="0"/>
          <w:sz w:val="32"/>
          <w:szCs w:val="32"/>
        </w:rPr>
        <w:t>，</w:t>
      </w:r>
      <w:r>
        <w:rPr>
          <w:rFonts w:ascii="仿宋_GB2312" w:hAnsi="宋体" w:eastAsia="仿宋_GB2312"/>
          <w:b w:val="0"/>
          <w:bCs w:val="0"/>
          <w:sz w:val="32"/>
          <w:szCs w:val="32"/>
        </w:rPr>
        <w:t>16号线南段</w:t>
      </w:r>
      <w:r>
        <w:rPr>
          <w:rFonts w:hint="eastAsia" w:ascii="仿宋_GB2312" w:hAnsi="宋体" w:eastAsia="仿宋_GB2312"/>
          <w:b w:val="0"/>
          <w:bCs w:val="0"/>
          <w:sz w:val="32"/>
          <w:szCs w:val="32"/>
        </w:rPr>
        <w:t>、昌平线南延</w:t>
      </w:r>
      <w:r>
        <w:rPr>
          <w:rFonts w:ascii="仿宋_GB2312" w:hAnsi="宋体" w:eastAsia="仿宋_GB2312"/>
          <w:b w:val="0"/>
          <w:bCs w:val="0"/>
          <w:sz w:val="32"/>
          <w:szCs w:val="32"/>
        </w:rPr>
        <w:t>预计年底前实现通车</w:t>
      </w:r>
      <w:r>
        <w:rPr>
          <w:rFonts w:hint="eastAsia" w:ascii="仿宋_GB2312" w:hAnsi="宋体" w:eastAsia="仿宋_GB2312"/>
          <w:b w:val="0"/>
          <w:bCs w:val="0"/>
          <w:sz w:val="32"/>
          <w:szCs w:val="32"/>
        </w:rPr>
        <w:t>，累计增加11</w:t>
      </w:r>
      <w:r>
        <w:rPr>
          <w:rFonts w:ascii="仿宋_GB2312" w:hAnsi="宋体" w:eastAsia="仿宋_GB2312"/>
          <w:b w:val="0"/>
          <w:bCs w:val="0"/>
          <w:sz w:val="32"/>
          <w:szCs w:val="32"/>
        </w:rPr>
        <w:t>公里运营里程。专班机制推动</w:t>
      </w:r>
      <w:r>
        <w:rPr>
          <w:rFonts w:hint="eastAsia" w:ascii="仿宋_GB2312" w:hAnsi="宋体" w:eastAsia="仿宋_GB2312"/>
          <w:b w:val="0"/>
          <w:bCs w:val="0"/>
          <w:sz w:val="32"/>
          <w:szCs w:val="32"/>
        </w:rPr>
        <w:t>完成向山路等100条城市道路移交。城市慢行交通路网不断完善，</w:t>
      </w:r>
      <w:r>
        <w:rPr>
          <w:rFonts w:hint="eastAsia" w:ascii="仿宋_GB2312" w:eastAsia="仿宋_GB2312"/>
          <w:b w:val="0"/>
          <w:bCs w:val="0"/>
          <w:sz w:val="32"/>
          <w:szCs w:val="32"/>
        </w:rPr>
        <w:t>完成66条、77公里道路慢行提升工程，实现自行车专用道一期工程全线贯通。</w:t>
      </w:r>
      <w:r>
        <w:rPr>
          <w:rFonts w:ascii="仿宋_GB2312" w:hAnsi="宋体" w:eastAsia="仿宋_GB2312"/>
          <w:b w:val="0"/>
          <w:bCs w:val="0"/>
          <w:sz w:val="32"/>
          <w:szCs w:val="32"/>
        </w:rPr>
        <w:t>打造错时共享停车场47处</w:t>
      </w:r>
      <w:r>
        <w:rPr>
          <w:rFonts w:hint="eastAsia" w:ascii="仿宋_GB2312" w:hAnsi="宋体" w:eastAsia="仿宋_GB2312"/>
          <w:b w:val="0"/>
          <w:bCs w:val="0"/>
          <w:sz w:val="32"/>
          <w:szCs w:val="32"/>
        </w:rPr>
        <w:t>，挖潜停车位</w:t>
      </w:r>
      <w:r>
        <w:rPr>
          <w:rFonts w:ascii="仿宋_GB2312" w:hAnsi="宋体" w:eastAsia="仿宋_GB2312"/>
          <w:b w:val="0"/>
          <w:bCs w:val="0"/>
          <w:sz w:val="32"/>
          <w:szCs w:val="32"/>
        </w:rPr>
        <w:t>6579个</w:t>
      </w:r>
      <w:r>
        <w:rPr>
          <w:rFonts w:hint="eastAsia" w:ascii="仿宋_GB2312" w:hAnsi="宋体" w:eastAsia="仿宋_GB2312"/>
          <w:b w:val="0"/>
          <w:bCs w:val="0"/>
          <w:sz w:val="32"/>
          <w:szCs w:val="32"/>
        </w:rPr>
        <w:t>。</w:t>
      </w:r>
      <w:r>
        <w:rPr>
          <w:rFonts w:hint="eastAsia" w:ascii="仿宋_GB2312" w:eastAsia="仿宋_GB2312"/>
          <w:b w:val="0"/>
          <w:bCs w:val="0"/>
          <w:sz w:val="32"/>
          <w:szCs w:val="32"/>
        </w:rPr>
        <w:t>持续推进宝盛路等</w:t>
      </w:r>
      <w:r>
        <w:rPr>
          <w:rFonts w:hint="eastAsia" w:ascii="仿宋_GB2312" w:hAnsi="仿宋" w:eastAsia="仿宋_GB2312"/>
          <w:b w:val="0"/>
          <w:bCs w:val="0"/>
          <w:color w:val="000000"/>
          <w:sz w:val="32"/>
          <w:szCs w:val="32"/>
          <w:lang w:val="zh-CN"/>
        </w:rPr>
        <w:t>6</w:t>
      </w:r>
      <w:r>
        <w:rPr>
          <w:rFonts w:hint="eastAsia" w:ascii="仿宋_GB2312" w:hAnsi="仿宋" w:eastAsia="仿宋_GB2312"/>
          <w:b w:val="0"/>
          <w:bCs w:val="0"/>
          <w:color w:val="000000"/>
          <w:sz w:val="32"/>
          <w:szCs w:val="32"/>
        </w:rPr>
        <w:t>处</w:t>
      </w:r>
      <w:r>
        <w:rPr>
          <w:rFonts w:hint="eastAsia" w:ascii="仿宋_GB2312" w:eastAsia="仿宋_GB2312"/>
          <w:b w:val="0"/>
          <w:bCs w:val="0"/>
          <w:sz w:val="32"/>
          <w:szCs w:val="32"/>
        </w:rPr>
        <w:t>点位交通疏堵工程，</w:t>
      </w:r>
      <w:r>
        <w:rPr>
          <w:rFonts w:ascii="仿宋_GB2312" w:hAnsi="宋体" w:eastAsia="仿宋_GB2312"/>
          <w:b w:val="0"/>
          <w:bCs w:val="0"/>
          <w:sz w:val="32"/>
          <w:szCs w:val="32"/>
        </w:rPr>
        <w:t>完成</w:t>
      </w:r>
      <w:r>
        <w:rPr>
          <w:rFonts w:hint="eastAsia" w:ascii="仿宋_GB2312" w:hAnsi="宋体" w:eastAsia="仿宋_GB2312"/>
          <w:b w:val="0"/>
          <w:bCs w:val="0"/>
          <w:sz w:val="32"/>
          <w:szCs w:val="32"/>
        </w:rPr>
        <w:t>道路</w:t>
      </w:r>
      <w:r>
        <w:rPr>
          <w:rFonts w:ascii="仿宋_GB2312" w:hAnsi="宋体" w:eastAsia="仿宋_GB2312"/>
          <w:b w:val="0"/>
          <w:bCs w:val="0"/>
          <w:sz w:val="32"/>
          <w:szCs w:val="32"/>
        </w:rPr>
        <w:t>大</w:t>
      </w:r>
      <w:r>
        <w:rPr>
          <w:rFonts w:hint="eastAsia" w:ascii="仿宋_GB2312" w:hAnsi="宋体" w:eastAsia="仿宋_GB2312"/>
          <w:b w:val="0"/>
          <w:bCs w:val="0"/>
          <w:sz w:val="32"/>
          <w:szCs w:val="32"/>
        </w:rPr>
        <w:t>中</w:t>
      </w:r>
      <w:r>
        <w:rPr>
          <w:rFonts w:ascii="仿宋_GB2312" w:hAnsi="宋体" w:eastAsia="仿宋_GB2312"/>
          <w:b w:val="0"/>
          <w:bCs w:val="0"/>
          <w:sz w:val="32"/>
          <w:szCs w:val="32"/>
        </w:rPr>
        <w:t>修工程近1</w:t>
      </w:r>
      <w:r>
        <w:rPr>
          <w:rFonts w:hint="eastAsia" w:ascii="仿宋_GB2312" w:hAnsi="宋体" w:eastAsia="仿宋_GB2312"/>
          <w:b w:val="0"/>
          <w:bCs w:val="0"/>
          <w:sz w:val="32"/>
          <w:szCs w:val="32"/>
        </w:rPr>
        <w:t>08万平方米，</w:t>
      </w:r>
      <w:r>
        <w:rPr>
          <w:rFonts w:hint="eastAsia" w:ascii="仿宋_GB2312" w:hAnsi="仿宋_GB2312" w:eastAsia="仿宋_GB2312" w:cs="仿宋_GB2312"/>
          <w:b w:val="0"/>
          <w:bCs w:val="0"/>
          <w:sz w:val="32"/>
          <w:szCs w:val="32"/>
        </w:rPr>
        <w:t>开展</w:t>
      </w:r>
      <w:r>
        <w:rPr>
          <w:rFonts w:ascii="仿宋_GB2312" w:hAnsi="宋体" w:eastAsia="仿宋_GB2312"/>
          <w:b w:val="0"/>
          <w:bCs w:val="0"/>
          <w:sz w:val="32"/>
          <w:szCs w:val="32"/>
        </w:rPr>
        <w:t>30所学校、12家医院、11个商圈和3个景区交通综合治理</w:t>
      </w:r>
      <w:r>
        <w:rPr>
          <w:rFonts w:hint="eastAsia" w:ascii="仿宋_GB2312" w:eastAsia="仿宋_GB2312"/>
          <w:b w:val="0"/>
          <w:bCs w:val="0"/>
          <w:sz w:val="32"/>
          <w:szCs w:val="32"/>
        </w:rPr>
        <w:t>。</w:t>
      </w:r>
      <w:r>
        <w:rPr>
          <w:rFonts w:hint="eastAsia" w:ascii="仿宋_GB2312" w:hAnsi="黑体" w:eastAsia="仿宋_GB2312" w:cs="宋体"/>
          <w:b w:val="0"/>
          <w:bCs w:val="0"/>
          <w:kern w:val="0"/>
          <w:sz w:val="32"/>
          <w:szCs w:val="32"/>
        </w:rPr>
        <w:t>加强共享单车治理，32座轨道交通车站出入口实现电子围栏监测管理，停放秩序持续改善。</w:t>
      </w:r>
    </w:p>
    <w:p w14:paraId="1F85BFF3">
      <w:pPr>
        <w:overflowPunct w:val="0"/>
        <w:adjustRightInd w:val="0"/>
        <w:snapToGrid w:val="0"/>
        <w:spacing w:line="560" w:lineRule="exact"/>
        <w:ind w:firstLine="640" w:firstLineChars="200"/>
        <w:rPr>
          <w:rFonts w:ascii="仿宋_GB2312" w:eastAsia="仿宋_GB2312"/>
          <w:b w:val="0"/>
          <w:bCs w:val="0"/>
          <w:sz w:val="32"/>
          <w:szCs w:val="32"/>
        </w:rPr>
      </w:pPr>
      <w:r>
        <w:rPr>
          <w:rFonts w:hint="eastAsia" w:ascii="仿宋_GB2312" w:hAnsi="仿宋_GB2312" w:eastAsia="仿宋_GB2312" w:cs="仿宋_GB2312"/>
          <w:b w:val="0"/>
          <w:bCs w:val="0"/>
          <w:sz w:val="32"/>
          <w:szCs w:val="32"/>
        </w:rPr>
        <w:t>新一轮“疏整促”专项行动扎实推进。北京卫星制造厂将成为航空航天、医药健康等高端制造业的示范窗口，龙徽老酒厂变身文化创意产业园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老旧厂房等一批大体量空间</w:t>
      </w:r>
      <w:r>
        <w:rPr>
          <w:rFonts w:hint="eastAsia" w:ascii="仿宋_GB2312" w:hAnsi="仿宋_GB2312" w:eastAsia="仿宋_GB2312" w:cs="仿宋_GB2312"/>
          <w:b w:val="0"/>
          <w:bCs w:val="0"/>
          <w:sz w:val="32"/>
          <w:szCs w:val="32"/>
          <w:lang w:eastAsia="zh-CN"/>
        </w:rPr>
        <w:t>实现</w:t>
      </w:r>
      <w:r>
        <w:rPr>
          <w:rFonts w:hint="eastAsia" w:ascii="仿宋_GB2312" w:eastAsia="仿宋_GB2312"/>
          <w:b w:val="0"/>
          <w:bCs w:val="0"/>
          <w:sz w:val="32"/>
          <w:szCs w:val="32"/>
        </w:rPr>
        <w:t>“颜值”“内涵”双提升</w:t>
      </w:r>
      <w:r>
        <w:rPr>
          <w:rFonts w:ascii="仿宋_GB2312" w:eastAsia="仿宋_GB2312"/>
          <w:b w:val="0"/>
          <w:bCs w:val="0"/>
          <w:sz w:val="32"/>
          <w:szCs w:val="32"/>
        </w:rPr>
        <w:t>。</w:t>
      </w:r>
      <w:r>
        <w:rPr>
          <w:rFonts w:hint="eastAsia" w:ascii="仿宋_GB2312" w:eastAsia="仿宋_GB2312"/>
          <w:b w:val="0"/>
          <w:bCs w:val="0"/>
          <w:sz w:val="32"/>
          <w:szCs w:val="32"/>
        </w:rPr>
        <w:t>完成</w:t>
      </w:r>
      <w:r>
        <w:rPr>
          <w:rFonts w:hint="eastAsia" w:ascii="仿宋_GB2312" w:hAnsi="仿宋_GB2312" w:eastAsia="仿宋_GB2312" w:cs="仿宋_GB2312"/>
          <w:b w:val="0"/>
          <w:bCs w:val="0"/>
          <w:sz w:val="32"/>
          <w:szCs w:val="32"/>
        </w:rPr>
        <w:t>基本无违法建设区创建，</w:t>
      </w:r>
      <w:r>
        <w:rPr>
          <w:rFonts w:ascii="仿宋_GB2312" w:eastAsia="仿宋_GB2312"/>
          <w:b w:val="0"/>
          <w:bCs w:val="0"/>
          <w:sz w:val="32"/>
          <w:szCs w:val="32"/>
        </w:rPr>
        <w:t>拆除违法建设面积</w:t>
      </w:r>
      <w:r>
        <w:rPr>
          <w:rFonts w:hint="eastAsia" w:ascii="仿宋_GB2312" w:eastAsia="仿宋_GB2312"/>
          <w:b w:val="0"/>
          <w:bCs w:val="0"/>
          <w:sz w:val="32"/>
          <w:szCs w:val="32"/>
        </w:rPr>
        <w:t>2</w:t>
      </w:r>
      <w:r>
        <w:rPr>
          <w:rFonts w:hint="eastAsia" w:ascii="仿宋_GB2312" w:eastAsia="仿宋_GB2312"/>
          <w:b w:val="0"/>
          <w:bCs w:val="0"/>
          <w:sz w:val="32"/>
          <w:szCs w:val="32"/>
          <w:lang w:val="en-US" w:eastAsia="zh-CN"/>
        </w:rPr>
        <w:t>14.7</w:t>
      </w:r>
      <w:r>
        <w:rPr>
          <w:rFonts w:ascii="仿宋_GB2312" w:eastAsia="仿宋_GB2312"/>
          <w:b w:val="0"/>
          <w:bCs w:val="0"/>
          <w:sz w:val="32"/>
          <w:szCs w:val="32"/>
        </w:rPr>
        <w:t>万平方米</w:t>
      </w:r>
      <w:r>
        <w:rPr>
          <w:rFonts w:hint="eastAsia" w:ascii="仿宋_GB2312" w:eastAsia="仿宋_GB2312"/>
          <w:b w:val="0"/>
          <w:bCs w:val="0"/>
          <w:sz w:val="32"/>
          <w:szCs w:val="32"/>
        </w:rPr>
        <w:t>、</w:t>
      </w:r>
      <w:r>
        <w:rPr>
          <w:rFonts w:ascii="仿宋_GB2312" w:eastAsia="仿宋_GB2312"/>
          <w:b w:val="0"/>
          <w:bCs w:val="0"/>
          <w:sz w:val="32"/>
          <w:szCs w:val="32"/>
        </w:rPr>
        <w:t>腾退土地</w:t>
      </w:r>
      <w:r>
        <w:rPr>
          <w:rFonts w:hint="eastAsia" w:ascii="仿宋_GB2312" w:eastAsia="仿宋_GB2312"/>
          <w:b w:val="0"/>
          <w:bCs w:val="0"/>
          <w:sz w:val="32"/>
          <w:szCs w:val="32"/>
        </w:rPr>
        <w:t>2</w:t>
      </w:r>
      <w:r>
        <w:rPr>
          <w:rFonts w:hint="eastAsia" w:ascii="仿宋_GB2312" w:eastAsia="仿宋_GB2312"/>
          <w:b w:val="0"/>
          <w:bCs w:val="0"/>
          <w:sz w:val="32"/>
          <w:szCs w:val="32"/>
          <w:lang w:val="en-US" w:eastAsia="zh-CN"/>
        </w:rPr>
        <w:t>12.9</w:t>
      </w:r>
      <w:r>
        <w:rPr>
          <w:rFonts w:ascii="仿宋_GB2312" w:eastAsia="仿宋_GB2312"/>
          <w:b w:val="0"/>
          <w:bCs w:val="0"/>
          <w:sz w:val="32"/>
          <w:szCs w:val="32"/>
        </w:rPr>
        <w:t>公顷</w:t>
      </w:r>
      <w:r>
        <w:rPr>
          <w:rFonts w:hint="eastAsia" w:ascii="仿宋_GB2312" w:eastAsia="仿宋_GB2312"/>
          <w:b w:val="0"/>
          <w:bCs w:val="0"/>
          <w:sz w:val="32"/>
          <w:szCs w:val="32"/>
        </w:rPr>
        <w:t>。整治</w:t>
      </w:r>
      <w:r>
        <w:rPr>
          <w:rFonts w:ascii="仿宋_GB2312" w:eastAsia="仿宋_GB2312"/>
          <w:b w:val="0"/>
          <w:bCs w:val="0"/>
          <w:sz w:val="32"/>
          <w:szCs w:val="32"/>
        </w:rPr>
        <w:t>围挡277处，完成桥下空间治理122处，整治提升地下空间14处，</w:t>
      </w:r>
      <w:r>
        <w:rPr>
          <w:rFonts w:hint="eastAsia" w:ascii="仿宋_GB2312" w:eastAsia="仿宋_GB2312"/>
          <w:b w:val="0"/>
          <w:bCs w:val="0"/>
          <w:sz w:val="32"/>
          <w:szCs w:val="32"/>
        </w:rPr>
        <w:t>无证无照、“</w:t>
      </w:r>
      <w:r>
        <w:rPr>
          <w:rFonts w:ascii="仿宋_GB2312" w:eastAsia="仿宋_GB2312"/>
          <w:b w:val="0"/>
          <w:bCs w:val="0"/>
          <w:sz w:val="32"/>
          <w:szCs w:val="32"/>
        </w:rPr>
        <w:t>开墙打洞</w:t>
      </w:r>
      <w:r>
        <w:rPr>
          <w:rFonts w:hint="eastAsia" w:ascii="仿宋_GB2312" w:eastAsia="仿宋_GB2312"/>
          <w:b w:val="0"/>
          <w:bCs w:val="0"/>
          <w:sz w:val="32"/>
          <w:szCs w:val="32"/>
        </w:rPr>
        <w:t>”</w:t>
      </w:r>
      <w:r>
        <w:rPr>
          <w:rFonts w:ascii="仿宋_GB2312" w:eastAsia="仿宋_GB2312"/>
          <w:b w:val="0"/>
          <w:bCs w:val="0"/>
          <w:sz w:val="32"/>
          <w:szCs w:val="32"/>
        </w:rPr>
        <w:t>、占道经营等清违治乱任务保持</w:t>
      </w:r>
      <w:r>
        <w:rPr>
          <w:rFonts w:hint="eastAsia" w:ascii="仿宋_GB2312" w:eastAsia="仿宋_GB2312"/>
          <w:b w:val="0"/>
          <w:bCs w:val="0"/>
          <w:sz w:val="32"/>
          <w:szCs w:val="32"/>
        </w:rPr>
        <w:t>“</w:t>
      </w:r>
      <w:r>
        <w:rPr>
          <w:rFonts w:ascii="仿宋_GB2312" w:eastAsia="仿宋_GB2312"/>
          <w:b w:val="0"/>
          <w:bCs w:val="0"/>
          <w:sz w:val="32"/>
          <w:szCs w:val="32"/>
        </w:rPr>
        <w:t>动态清零</w:t>
      </w:r>
      <w:r>
        <w:rPr>
          <w:rFonts w:hint="eastAsia" w:ascii="仿宋_GB2312" w:eastAsia="仿宋_GB2312"/>
          <w:b w:val="0"/>
          <w:bCs w:val="0"/>
          <w:sz w:val="32"/>
          <w:szCs w:val="32"/>
        </w:rPr>
        <w:t>”</w:t>
      </w:r>
      <w:r>
        <w:rPr>
          <w:rFonts w:ascii="仿宋_GB2312" w:eastAsia="仿宋_GB2312"/>
          <w:b w:val="0"/>
          <w:bCs w:val="0"/>
          <w:sz w:val="32"/>
          <w:szCs w:val="32"/>
        </w:rPr>
        <w:t>。</w:t>
      </w:r>
      <w:r>
        <w:rPr>
          <w:rFonts w:hint="eastAsia" w:ascii="仿宋_GB2312" w:eastAsia="仿宋_GB2312"/>
          <w:b w:val="0"/>
          <w:bCs w:val="0"/>
          <w:sz w:val="32"/>
          <w:szCs w:val="32"/>
        </w:rPr>
        <w:t>实施“</w:t>
      </w:r>
      <w:r>
        <w:rPr>
          <w:rFonts w:ascii="仿宋_GB2312" w:eastAsia="仿宋_GB2312"/>
          <w:b w:val="0"/>
          <w:bCs w:val="0"/>
          <w:sz w:val="32"/>
          <w:szCs w:val="32"/>
        </w:rPr>
        <w:t>留白增绿</w:t>
      </w:r>
      <w:r>
        <w:rPr>
          <w:rFonts w:hint="eastAsia" w:ascii="仿宋_GB2312" w:eastAsia="仿宋_GB2312"/>
          <w:b w:val="0"/>
          <w:bCs w:val="0"/>
          <w:sz w:val="32"/>
          <w:szCs w:val="32"/>
        </w:rPr>
        <w:t>”</w:t>
      </w:r>
      <w:r>
        <w:rPr>
          <w:rFonts w:ascii="仿宋_GB2312" w:eastAsia="仿宋_GB2312"/>
          <w:b w:val="0"/>
          <w:bCs w:val="0"/>
          <w:sz w:val="32"/>
          <w:szCs w:val="32"/>
        </w:rPr>
        <w:t>20.1公顷、</w:t>
      </w:r>
      <w:r>
        <w:rPr>
          <w:rFonts w:hint="eastAsia" w:ascii="仿宋_GB2312" w:eastAsia="仿宋_GB2312"/>
          <w:b w:val="0"/>
          <w:bCs w:val="0"/>
          <w:sz w:val="32"/>
          <w:szCs w:val="32"/>
        </w:rPr>
        <w:t>“</w:t>
      </w:r>
      <w:r>
        <w:rPr>
          <w:rFonts w:ascii="仿宋_GB2312" w:eastAsia="仿宋_GB2312"/>
          <w:b w:val="0"/>
          <w:bCs w:val="0"/>
          <w:sz w:val="32"/>
          <w:szCs w:val="32"/>
        </w:rPr>
        <w:t>揭网见绿</w:t>
      </w:r>
      <w:r>
        <w:rPr>
          <w:rFonts w:hint="eastAsia" w:ascii="仿宋_GB2312" w:eastAsia="仿宋_GB2312"/>
          <w:b w:val="0"/>
          <w:bCs w:val="0"/>
          <w:sz w:val="32"/>
          <w:szCs w:val="32"/>
        </w:rPr>
        <w:t>”597.2</w:t>
      </w:r>
      <w:r>
        <w:rPr>
          <w:rFonts w:ascii="仿宋_GB2312" w:eastAsia="仿宋_GB2312"/>
          <w:b w:val="0"/>
          <w:bCs w:val="0"/>
          <w:sz w:val="32"/>
          <w:szCs w:val="32"/>
        </w:rPr>
        <w:t>公顷</w:t>
      </w:r>
      <w:r>
        <w:rPr>
          <w:rFonts w:hint="eastAsia" w:ascii="仿宋_GB2312" w:eastAsia="仿宋_GB2312"/>
          <w:b w:val="0"/>
          <w:bCs w:val="0"/>
          <w:sz w:val="32"/>
          <w:szCs w:val="32"/>
        </w:rPr>
        <w:t>（完成进度136.4%），</w:t>
      </w:r>
      <w:r>
        <w:rPr>
          <w:rFonts w:hint="eastAsia" w:ascii="仿宋_GB2312" w:hAnsi="宋体" w:eastAsia="仿宋_GB2312"/>
          <w:b w:val="0"/>
          <w:bCs w:val="0"/>
          <w:sz w:val="32"/>
          <w:szCs w:val="32"/>
        </w:rPr>
        <w:t>拆除公园与绿地护栏围网约38万米，海淀公园、巴沟山水园等57处公园与279条道路绿地空间有机融入城市景观</w:t>
      </w:r>
      <w:r>
        <w:rPr>
          <w:rFonts w:hint="eastAsia" w:ascii="仿宋_GB2312" w:hAnsi="宋体" w:eastAsia="仿宋_GB2312"/>
          <w:b w:val="0"/>
          <w:bCs w:val="0"/>
          <w:sz w:val="32"/>
          <w:szCs w:val="32"/>
          <w:lang w:eastAsia="zh-CN"/>
        </w:rPr>
        <w:t>，</w:t>
      </w:r>
      <w:r>
        <w:rPr>
          <w:rFonts w:hint="eastAsia" w:ascii="仿宋_GB2312" w:hAnsi="仿宋_GB2312" w:eastAsia="仿宋_GB2312" w:cs="仿宋_GB2312"/>
          <w:b w:val="0"/>
          <w:bCs w:val="0"/>
          <w:sz w:val="32"/>
          <w:szCs w:val="32"/>
        </w:rPr>
        <w:t>让市民开窗见绿、出门见园</w:t>
      </w:r>
      <w:r>
        <w:rPr>
          <w:rFonts w:hint="eastAsia" w:ascii="仿宋_GB2312" w:hAnsi="宋体" w:eastAsia="仿宋_GB2312"/>
          <w:b w:val="0"/>
          <w:bCs w:val="0"/>
          <w:sz w:val="32"/>
          <w:szCs w:val="32"/>
        </w:rPr>
        <w:t>。</w:t>
      </w:r>
    </w:p>
    <w:p w14:paraId="63D324DF">
      <w:pPr>
        <w:adjustRightInd w:val="0"/>
        <w:snapToGrid w:val="0"/>
        <w:spacing w:line="560" w:lineRule="exact"/>
        <w:ind w:firstLine="640" w:firstLineChars="200"/>
        <w:rPr>
          <w:rFonts w:ascii="仿宋_GB2312" w:hAnsi="Calibri" w:eastAsia="仿宋_GB2312"/>
          <w:b w:val="0"/>
          <w:bCs w:val="0"/>
          <w:sz w:val="32"/>
          <w:szCs w:val="32"/>
        </w:rPr>
      </w:pPr>
      <w:r>
        <w:rPr>
          <w:rFonts w:hint="eastAsia" w:ascii="仿宋_GB2312" w:hAnsi="Calibri" w:eastAsia="仿宋_GB2312"/>
          <w:b w:val="0"/>
          <w:bCs w:val="0"/>
          <w:sz w:val="32"/>
          <w:szCs w:val="32"/>
        </w:rPr>
        <w:t>环境品质持续改善。</w:t>
      </w:r>
      <w:r>
        <w:rPr>
          <w:rFonts w:hint="eastAsia" w:ascii="仿宋_GB2312" w:eastAsia="仿宋_GB2312"/>
          <w:b w:val="0"/>
          <w:bCs w:val="0"/>
          <w:sz w:val="32"/>
          <w:szCs w:val="32"/>
        </w:rPr>
        <w:t>聚焦春季扬尘、夏季臭氧、</w:t>
      </w:r>
      <w:r>
        <w:rPr>
          <w:rFonts w:hint="eastAsia" w:ascii="仿宋_GB2312" w:hAnsi="仿宋_GB2312" w:eastAsia="仿宋_GB2312" w:cs="仿宋_GB2312"/>
          <w:b w:val="0"/>
          <w:bCs w:val="0"/>
          <w:sz w:val="32"/>
          <w:szCs w:val="32"/>
        </w:rPr>
        <w:t>秋冬季</w:t>
      </w:r>
      <w:r>
        <w:rPr>
          <w:rFonts w:ascii="仿宋_GB2312" w:hAnsi="仿宋_GB2312" w:eastAsia="仿宋_GB2312" w:cs="仿宋_GB2312"/>
          <w:b w:val="0"/>
          <w:bCs w:val="0"/>
          <w:sz w:val="32"/>
          <w:szCs w:val="32"/>
        </w:rPr>
        <w:t>PM</w:t>
      </w:r>
      <w:r>
        <w:rPr>
          <w:rFonts w:ascii="仿宋_GB2312" w:hAnsi="仿宋_GB2312" w:eastAsia="仿宋_GB2312" w:cs="仿宋_GB2312"/>
          <w:b w:val="0"/>
          <w:bCs w:val="0"/>
          <w:sz w:val="32"/>
          <w:szCs w:val="32"/>
          <w:vertAlign w:val="subscript"/>
        </w:rPr>
        <w:t>2.5</w:t>
      </w:r>
      <w:r>
        <w:rPr>
          <w:rFonts w:hint="eastAsia" w:ascii="仿宋_GB2312" w:hAnsi="仿宋_GB2312" w:eastAsia="仿宋_GB2312" w:cs="仿宋_GB2312"/>
          <w:b w:val="0"/>
          <w:bCs w:val="0"/>
          <w:sz w:val="32"/>
          <w:szCs w:val="32"/>
        </w:rPr>
        <w:t>污染精准施治，</w:t>
      </w:r>
      <w:r>
        <w:rPr>
          <w:rFonts w:hint="eastAsia" w:ascii="仿宋_GB2312" w:hAnsi="Calibri" w:eastAsia="仿宋_GB2312"/>
          <w:b w:val="0"/>
          <w:bCs w:val="0"/>
          <w:sz w:val="32"/>
          <w:szCs w:val="32"/>
        </w:rPr>
        <w:t>全年PM</w:t>
      </w:r>
      <w:r>
        <w:rPr>
          <w:rFonts w:ascii="仿宋_GB2312" w:hAnsi="Calibri" w:eastAsia="仿宋_GB2312"/>
          <w:b w:val="0"/>
          <w:bCs w:val="0"/>
          <w:sz w:val="32"/>
          <w:szCs w:val="32"/>
          <w:vertAlign w:val="subscript"/>
        </w:rPr>
        <w:t>2.5</w:t>
      </w:r>
      <w:r>
        <w:rPr>
          <w:rFonts w:hint="eastAsia" w:ascii="仿宋_GB2312" w:hAnsi="Calibri" w:eastAsia="仿宋_GB2312"/>
          <w:b w:val="0"/>
          <w:bCs w:val="0"/>
          <w:sz w:val="32"/>
          <w:szCs w:val="32"/>
        </w:rPr>
        <w:t>平均浓度控制在3</w:t>
      </w:r>
      <w:r>
        <w:rPr>
          <w:rFonts w:hint="eastAsia" w:ascii="仿宋_GB2312" w:hAnsi="Calibri" w:eastAsia="仿宋_GB2312"/>
          <w:b w:val="0"/>
          <w:bCs w:val="0"/>
          <w:sz w:val="32"/>
          <w:szCs w:val="32"/>
          <w:lang w:val="en-US" w:eastAsia="zh-CN"/>
        </w:rPr>
        <w:t>0</w:t>
      </w:r>
      <w:r>
        <w:rPr>
          <w:rFonts w:hint="eastAsia" w:ascii="仿宋_GB2312" w:hAnsi="Calibri" w:eastAsia="仿宋_GB2312"/>
          <w:b w:val="0"/>
          <w:bCs w:val="0"/>
          <w:sz w:val="32"/>
          <w:szCs w:val="32"/>
        </w:rPr>
        <w:t>微克/立方米，连续8年保持城六区最优，夏秋季PM</w:t>
      </w:r>
      <w:r>
        <w:rPr>
          <w:rFonts w:ascii="仿宋_GB2312" w:hAnsi="Calibri" w:eastAsia="仿宋_GB2312"/>
          <w:b w:val="0"/>
          <w:bCs w:val="0"/>
          <w:sz w:val="32"/>
          <w:szCs w:val="32"/>
          <w:vertAlign w:val="subscript"/>
        </w:rPr>
        <w:t>2.5</w:t>
      </w:r>
      <w:r>
        <w:rPr>
          <w:rFonts w:hint="eastAsia" w:ascii="仿宋_GB2312" w:hAnsi="Calibri" w:eastAsia="仿宋_GB2312"/>
          <w:b w:val="0"/>
          <w:bCs w:val="0"/>
          <w:sz w:val="32"/>
          <w:szCs w:val="32"/>
        </w:rPr>
        <w:t>重污染基本消除，</w:t>
      </w:r>
      <w:r>
        <w:rPr>
          <w:rFonts w:hint="eastAsia" w:ascii="仿宋_GB2312" w:eastAsia="仿宋_GB2312"/>
          <w:b w:val="0"/>
          <w:bCs w:val="0"/>
          <w:sz w:val="32"/>
          <w:szCs w:val="32"/>
        </w:rPr>
        <w:t>氮氧化物和挥发性有机物同步减排</w:t>
      </w:r>
      <w:r>
        <w:rPr>
          <w:rFonts w:hint="eastAsia" w:ascii="仿宋_GB2312" w:hAnsi="Calibri" w:eastAsia="仿宋_GB2312"/>
          <w:b w:val="0"/>
          <w:bCs w:val="0"/>
          <w:sz w:val="32"/>
          <w:szCs w:val="32"/>
        </w:rPr>
        <w:t>。实施“水清岸绿”计划，建设34.5公里滨水慢行走廊；完成金河、北旱河、万泉河三山五园水系治理，实现188公顷蓝绿融合；南长河（上游段）、“清河之州”重点河道进场施工；建成22个在线水质监测站点，8个地表水考核断面优良比例87.5%、优于考核目标。新增造林绿化3739亩，超额完成北京市新一轮百万亩造林绿化年度任务。积极推进重点道路、重点区域架空线入地专项整治，完成树村路、玉泉山路电力架空线缆入地。突出减污降碳协同增效，推动能源、建筑、交通等重点领域节能减碳。预计全年碳排放强度、单位地区生产总值能耗降幅达到市级任务要求。</w:t>
      </w:r>
    </w:p>
    <w:p w14:paraId="3B445BCD">
      <w:pPr>
        <w:adjustRightInd w:val="0"/>
        <w:snapToGrid w:val="0"/>
        <w:spacing w:line="560" w:lineRule="exact"/>
        <w:ind w:firstLine="616" w:firstLineChars="200"/>
        <w:rPr>
          <w:rFonts w:ascii="楷体_GB2312" w:hAnsi="宋体" w:eastAsia="楷体_GB2312"/>
          <w:b w:val="0"/>
          <w:bCs w:val="0"/>
          <w:spacing w:val="-6"/>
          <w:sz w:val="32"/>
          <w:szCs w:val="32"/>
        </w:rPr>
      </w:pPr>
      <w:r>
        <w:rPr>
          <w:rFonts w:hint="eastAsia" w:ascii="楷体_GB2312" w:hAnsi="宋体" w:eastAsia="楷体_GB2312"/>
          <w:b w:val="0"/>
          <w:bCs w:val="0"/>
          <w:spacing w:val="-6"/>
          <w:sz w:val="32"/>
          <w:szCs w:val="32"/>
        </w:rPr>
        <w:t>（五）</w:t>
      </w:r>
      <w:r>
        <w:rPr>
          <w:rFonts w:hint="eastAsia" w:ascii="楷体_GB2312" w:eastAsia="楷体_GB2312"/>
          <w:b w:val="0"/>
          <w:bCs w:val="0"/>
          <w:spacing w:val="-6"/>
          <w:sz w:val="32"/>
          <w:szCs w:val="32"/>
        </w:rPr>
        <w:t>加快补齐民生领域短板，群众幸福感获得感持续增强</w:t>
      </w:r>
    </w:p>
    <w:p w14:paraId="65690D77">
      <w:pPr>
        <w:overflowPunct w:val="0"/>
        <w:adjustRightInd w:val="0"/>
        <w:snapToGrid w:val="0"/>
        <w:spacing w:line="560" w:lineRule="exact"/>
        <w:ind w:firstLine="640" w:firstLineChars="200"/>
        <w:rPr>
          <w:rFonts w:ascii="仿宋_GB2312" w:hAnsi="仿宋" w:eastAsia="仿宋_GB2312" w:cs="仿宋"/>
          <w:b w:val="0"/>
          <w:bCs w:val="0"/>
          <w:sz w:val="32"/>
          <w:szCs w:val="32"/>
        </w:rPr>
      </w:pPr>
      <w:r>
        <w:rPr>
          <w:rFonts w:hint="eastAsia" w:ascii="仿宋_GB2312" w:hAnsi="Helvetica" w:eastAsia="仿宋_GB2312" w:cs="Helvetica"/>
          <w:b w:val="0"/>
          <w:bCs w:val="0"/>
          <w:sz w:val="32"/>
          <w:szCs w:val="32"/>
        </w:rPr>
        <w:t>持续提升</w:t>
      </w:r>
      <w:r>
        <w:rPr>
          <w:rFonts w:hint="eastAsia" w:ascii="仿宋_GB2312" w:hAnsi="Helvetica" w:eastAsia="仿宋_GB2312" w:cs="Helvetica"/>
          <w:b w:val="0"/>
          <w:bCs w:val="0"/>
          <w:sz w:val="32"/>
          <w:szCs w:val="32"/>
          <w:lang w:eastAsia="zh-CN"/>
        </w:rPr>
        <w:t>社会保障</w:t>
      </w:r>
      <w:r>
        <w:rPr>
          <w:rFonts w:hint="eastAsia" w:ascii="仿宋_GB2312" w:hAnsi="Helvetica" w:eastAsia="仿宋_GB2312" w:cs="Helvetica"/>
          <w:b w:val="0"/>
          <w:bCs w:val="0"/>
          <w:sz w:val="32"/>
          <w:szCs w:val="32"/>
        </w:rPr>
        <w:t>质量。促进高质量充分就业</w:t>
      </w:r>
      <w:r>
        <w:rPr>
          <w:rFonts w:hint="eastAsia" w:ascii="仿宋_GB2312" w:eastAsia="仿宋_GB2312"/>
          <w:b w:val="0"/>
          <w:bCs w:val="0"/>
          <w:kern w:val="0"/>
          <w:sz w:val="32"/>
          <w:szCs w:val="32"/>
        </w:rPr>
        <w:t>，新增创业带动就业岗位</w:t>
      </w:r>
      <w:r>
        <w:rPr>
          <w:rFonts w:ascii="仿宋_GB2312" w:eastAsia="仿宋_GB2312"/>
          <w:b w:val="0"/>
          <w:bCs w:val="0"/>
          <w:kern w:val="0"/>
          <w:sz w:val="32"/>
          <w:szCs w:val="32"/>
        </w:rPr>
        <w:t>4.</w:t>
      </w:r>
      <w:r>
        <w:rPr>
          <w:rFonts w:hint="eastAsia" w:ascii="仿宋_GB2312" w:eastAsia="仿宋_GB2312"/>
          <w:b w:val="0"/>
          <w:bCs w:val="0"/>
          <w:kern w:val="0"/>
          <w:sz w:val="32"/>
          <w:szCs w:val="32"/>
        </w:rPr>
        <w:t>8万个，促进就业</w:t>
      </w:r>
      <w:r>
        <w:rPr>
          <w:rFonts w:ascii="仿宋_GB2312" w:eastAsia="仿宋_GB2312"/>
          <w:b w:val="0"/>
          <w:bCs w:val="0"/>
          <w:kern w:val="0"/>
          <w:sz w:val="32"/>
          <w:szCs w:val="32"/>
        </w:rPr>
        <w:t>6.</w:t>
      </w:r>
      <w:r>
        <w:rPr>
          <w:rFonts w:hint="eastAsia" w:ascii="仿宋_GB2312" w:eastAsia="仿宋_GB2312"/>
          <w:b w:val="0"/>
          <w:bCs w:val="0"/>
          <w:kern w:val="0"/>
          <w:sz w:val="32"/>
          <w:szCs w:val="32"/>
        </w:rPr>
        <w:t>4</w:t>
      </w:r>
      <w:r>
        <w:rPr>
          <w:rFonts w:ascii="仿宋_GB2312" w:eastAsia="仿宋_GB2312"/>
          <w:b w:val="0"/>
          <w:bCs w:val="0"/>
          <w:kern w:val="0"/>
          <w:sz w:val="32"/>
          <w:szCs w:val="32"/>
        </w:rPr>
        <w:t>万人</w:t>
      </w:r>
      <w:r>
        <w:rPr>
          <w:rFonts w:hint="eastAsia" w:ascii="仿宋_GB2312" w:eastAsia="仿宋_GB2312"/>
          <w:b w:val="0"/>
          <w:bCs w:val="0"/>
          <w:kern w:val="0"/>
          <w:sz w:val="32"/>
          <w:szCs w:val="32"/>
        </w:rPr>
        <w:t>；</w:t>
      </w:r>
      <w:r>
        <w:rPr>
          <w:rFonts w:hint="eastAsia" w:ascii="仿宋_GB2312" w:eastAsia="仿宋_GB2312"/>
          <w:b w:val="0"/>
          <w:bCs w:val="0"/>
          <w:kern w:val="0"/>
          <w:sz w:val="32"/>
          <w:szCs w:val="32"/>
          <w:lang w:eastAsia="zh-CN"/>
        </w:rPr>
        <w:t>全年</w:t>
      </w:r>
      <w:r>
        <w:rPr>
          <w:rFonts w:hint="eastAsia" w:ascii="仿宋_GB2312" w:eastAsia="仿宋_GB2312"/>
          <w:b w:val="0"/>
          <w:bCs w:val="0"/>
          <w:kern w:val="0"/>
          <w:sz w:val="32"/>
          <w:szCs w:val="32"/>
        </w:rPr>
        <w:t>城镇登记失业率</w:t>
      </w:r>
      <w:r>
        <w:rPr>
          <w:rFonts w:hint="eastAsia" w:ascii="仿宋_GB2312" w:eastAsia="仿宋_GB2312"/>
          <w:b w:val="0"/>
          <w:bCs w:val="0"/>
          <w:kern w:val="0"/>
          <w:sz w:val="32"/>
          <w:szCs w:val="32"/>
          <w:lang w:val="en-US" w:eastAsia="zh-CN"/>
        </w:rPr>
        <w:t>控制在3%内，位居全市前列</w:t>
      </w:r>
      <w:r>
        <w:rPr>
          <w:rFonts w:ascii="仿宋_GB2312" w:eastAsia="仿宋_GB2312"/>
          <w:b w:val="0"/>
          <w:bCs w:val="0"/>
          <w:kern w:val="0"/>
          <w:sz w:val="32"/>
          <w:szCs w:val="32"/>
        </w:rPr>
        <w:t>。</w:t>
      </w:r>
      <w:r>
        <w:rPr>
          <w:rFonts w:hint="eastAsia" w:ascii="仿宋_GB2312" w:eastAsia="仿宋_GB2312"/>
          <w:b w:val="0"/>
          <w:bCs w:val="0"/>
          <w:kern w:val="0"/>
          <w:sz w:val="32"/>
          <w:szCs w:val="32"/>
        </w:rPr>
        <w:t>加强高标准民生保障，企业退休职工人均养老金每月增加</w:t>
      </w:r>
      <w:r>
        <w:rPr>
          <w:rFonts w:ascii="仿宋_GB2312" w:eastAsia="仿宋_GB2312"/>
          <w:b w:val="0"/>
          <w:bCs w:val="0"/>
          <w:kern w:val="0"/>
          <w:sz w:val="32"/>
          <w:szCs w:val="32"/>
        </w:rPr>
        <w:t>199.</w:t>
      </w:r>
      <w:r>
        <w:rPr>
          <w:rFonts w:hint="eastAsia" w:ascii="仿宋_GB2312" w:eastAsia="仿宋_GB2312"/>
          <w:b w:val="0"/>
          <w:bCs w:val="0"/>
          <w:kern w:val="0"/>
          <w:sz w:val="32"/>
          <w:szCs w:val="32"/>
        </w:rPr>
        <w:t>9</w:t>
      </w:r>
      <w:r>
        <w:rPr>
          <w:rFonts w:ascii="仿宋_GB2312" w:eastAsia="仿宋_GB2312"/>
          <w:b w:val="0"/>
          <w:bCs w:val="0"/>
          <w:kern w:val="0"/>
          <w:sz w:val="32"/>
          <w:szCs w:val="32"/>
        </w:rPr>
        <w:t>元，</w:t>
      </w:r>
      <w:r>
        <w:rPr>
          <w:rFonts w:hint="eastAsia" w:ascii="仿宋_GB2312" w:eastAsia="仿宋_GB2312"/>
          <w:b w:val="0"/>
          <w:bCs w:val="0"/>
          <w:kern w:val="0"/>
          <w:sz w:val="32"/>
          <w:szCs w:val="32"/>
        </w:rPr>
        <w:t>城乡居民养老保险基础养老金每月增加</w:t>
      </w:r>
      <w:r>
        <w:rPr>
          <w:rFonts w:ascii="仿宋_GB2312" w:eastAsia="仿宋_GB2312"/>
          <w:b w:val="0"/>
          <w:bCs w:val="0"/>
          <w:kern w:val="0"/>
          <w:sz w:val="32"/>
          <w:szCs w:val="32"/>
        </w:rPr>
        <w:t>37元</w:t>
      </w:r>
      <w:r>
        <w:rPr>
          <w:rFonts w:hint="eastAsia" w:ascii="仿宋_GB2312" w:eastAsia="仿宋_GB2312"/>
          <w:b w:val="0"/>
          <w:bCs w:val="0"/>
          <w:kern w:val="0"/>
          <w:sz w:val="32"/>
          <w:szCs w:val="32"/>
        </w:rPr>
        <w:t>，城乡低保标准从家庭月人均</w:t>
      </w:r>
      <w:r>
        <w:rPr>
          <w:rFonts w:ascii="仿宋_GB2312" w:eastAsia="仿宋_GB2312"/>
          <w:b w:val="0"/>
          <w:bCs w:val="0"/>
          <w:kern w:val="0"/>
          <w:sz w:val="32"/>
          <w:szCs w:val="32"/>
        </w:rPr>
        <w:t>1245元上调至1320元，</w:t>
      </w:r>
      <w:r>
        <w:rPr>
          <w:rFonts w:hint="eastAsia" w:ascii="仿宋_GB2312" w:eastAsia="仿宋_GB2312"/>
          <w:b w:val="0"/>
          <w:bCs w:val="0"/>
          <w:kern w:val="0"/>
          <w:sz w:val="32"/>
          <w:szCs w:val="32"/>
        </w:rPr>
        <w:t>为1.1万人次拨付各类医疗救助款4691.71万元。全年开工保障性住房</w:t>
      </w:r>
      <w:r>
        <w:rPr>
          <w:rFonts w:ascii="仿宋_GB2312" w:eastAsia="仿宋_GB2312"/>
          <w:b w:val="0"/>
          <w:bCs w:val="0"/>
          <w:kern w:val="0"/>
          <w:sz w:val="32"/>
          <w:szCs w:val="32"/>
        </w:rPr>
        <w:t>4378</w:t>
      </w:r>
      <w:r>
        <w:rPr>
          <w:rFonts w:hint="eastAsia" w:ascii="仿宋_GB2312" w:eastAsia="仿宋_GB2312"/>
          <w:b w:val="0"/>
          <w:bCs w:val="0"/>
          <w:kern w:val="0"/>
          <w:sz w:val="32"/>
          <w:szCs w:val="32"/>
        </w:rPr>
        <w:t>套、竣工</w:t>
      </w:r>
      <w:r>
        <w:rPr>
          <w:rFonts w:ascii="仿宋_GB2312" w:eastAsia="仿宋_GB2312"/>
          <w:b w:val="0"/>
          <w:bCs w:val="0"/>
          <w:kern w:val="0"/>
          <w:sz w:val="32"/>
          <w:szCs w:val="32"/>
        </w:rPr>
        <w:t>5707</w:t>
      </w:r>
      <w:r>
        <w:rPr>
          <w:rFonts w:hint="eastAsia" w:ascii="仿宋_GB2312" w:eastAsia="仿宋_GB2312"/>
          <w:b w:val="0"/>
          <w:bCs w:val="0"/>
          <w:kern w:val="0"/>
          <w:sz w:val="32"/>
          <w:szCs w:val="32"/>
        </w:rPr>
        <w:t>套，配租公租房</w:t>
      </w:r>
      <w:r>
        <w:rPr>
          <w:rFonts w:ascii="仿宋_GB2312" w:eastAsia="仿宋_GB2312"/>
          <w:b w:val="0"/>
          <w:bCs w:val="0"/>
          <w:kern w:val="0"/>
          <w:sz w:val="32"/>
          <w:szCs w:val="32"/>
        </w:rPr>
        <w:t>3828</w:t>
      </w:r>
      <w:r>
        <w:rPr>
          <w:rFonts w:hint="eastAsia" w:ascii="仿宋_GB2312" w:eastAsia="仿宋_GB2312"/>
          <w:b w:val="0"/>
          <w:bCs w:val="0"/>
          <w:kern w:val="0"/>
          <w:sz w:val="32"/>
          <w:szCs w:val="32"/>
        </w:rPr>
        <w:t>套。</w:t>
      </w:r>
    </w:p>
    <w:p w14:paraId="12D6CCCB">
      <w:pPr>
        <w:overflowPunct w:val="0"/>
        <w:adjustRightInd w:val="0"/>
        <w:snapToGrid w:val="0"/>
        <w:spacing w:line="560" w:lineRule="exact"/>
        <w:ind w:firstLine="640" w:firstLineChars="200"/>
        <w:rPr>
          <w:rFonts w:ascii="仿宋_GB2312" w:eastAsia="仿宋_GB2312"/>
          <w:b w:val="0"/>
          <w:bCs w:val="0"/>
          <w:sz w:val="32"/>
          <w:szCs w:val="32"/>
        </w:rPr>
      </w:pPr>
      <w:r>
        <w:rPr>
          <w:rFonts w:ascii="仿宋_GB2312" w:hAnsi="仿宋" w:eastAsia="仿宋_GB2312" w:cs="仿宋"/>
          <w:b w:val="0"/>
          <w:bCs w:val="0"/>
          <w:sz w:val="32"/>
          <w:szCs w:val="32"/>
        </w:rPr>
        <w:t>全面拓展养老服务体系</w:t>
      </w:r>
      <w:r>
        <w:rPr>
          <w:rFonts w:hint="eastAsia" w:ascii="仿宋_GB2312" w:hAnsi="仿宋" w:eastAsia="仿宋_GB2312" w:cs="仿宋"/>
          <w:b w:val="0"/>
          <w:bCs w:val="0"/>
          <w:sz w:val="32"/>
          <w:szCs w:val="32"/>
        </w:rPr>
        <w:t>。</w:t>
      </w:r>
      <w:r>
        <w:rPr>
          <w:rFonts w:hint="eastAsia" w:ascii="仿宋_GB2312" w:eastAsia="仿宋_GB2312"/>
          <w:b w:val="0"/>
          <w:bCs w:val="0"/>
          <w:sz w:val="32"/>
          <w:szCs w:val="32"/>
        </w:rPr>
        <w:t>新增社区养老服务驿站10</w:t>
      </w:r>
      <w:r>
        <w:rPr>
          <w:rFonts w:ascii="仿宋_GB2312" w:eastAsia="仿宋_GB2312"/>
          <w:b w:val="0"/>
          <w:bCs w:val="0"/>
          <w:sz w:val="32"/>
          <w:szCs w:val="32"/>
        </w:rPr>
        <w:t>家</w:t>
      </w:r>
      <w:r>
        <w:rPr>
          <w:rFonts w:hint="eastAsia" w:ascii="仿宋_GB2312" w:eastAsia="仿宋_GB2312"/>
          <w:b w:val="0"/>
          <w:bCs w:val="0"/>
          <w:sz w:val="32"/>
          <w:szCs w:val="32"/>
        </w:rPr>
        <w:t>；出台提升养老助餐服务管理水平实施方案，新建养老助餐点</w:t>
      </w:r>
      <w:r>
        <w:rPr>
          <w:rFonts w:ascii="仿宋_GB2312" w:eastAsia="仿宋_GB2312"/>
          <w:b w:val="0"/>
          <w:bCs w:val="0"/>
          <w:sz w:val="32"/>
          <w:szCs w:val="32"/>
        </w:rPr>
        <w:t>15家</w:t>
      </w:r>
      <w:r>
        <w:rPr>
          <w:rFonts w:hint="eastAsia" w:ascii="仿宋_GB2312" w:eastAsia="仿宋_GB2312"/>
          <w:b w:val="0"/>
          <w:bCs w:val="0"/>
          <w:sz w:val="32"/>
          <w:szCs w:val="32"/>
        </w:rPr>
        <w:t>，累计达99家。强化居家养老服务，制定养老家庭照护床位建设实施细则，全年建成家庭养老照护床位3007张</w:t>
      </w:r>
      <w:r>
        <w:rPr>
          <w:rFonts w:ascii="仿宋_GB2312" w:eastAsia="仿宋_GB2312"/>
          <w:b w:val="0"/>
          <w:bCs w:val="0"/>
          <w:sz w:val="32"/>
          <w:szCs w:val="32"/>
        </w:rPr>
        <w:t>，服务覆盖面和保障水平居全市首位。为</w:t>
      </w:r>
      <w:r>
        <w:rPr>
          <w:rFonts w:hint="eastAsia" w:ascii="仿宋_GB2312" w:eastAsia="仿宋_GB2312"/>
          <w:b w:val="0"/>
          <w:bCs w:val="0"/>
          <w:sz w:val="32"/>
          <w:szCs w:val="32"/>
        </w:rPr>
        <w:t>2000</w:t>
      </w:r>
      <w:r>
        <w:rPr>
          <w:rFonts w:ascii="仿宋_GB2312" w:eastAsia="仿宋_GB2312"/>
          <w:b w:val="0"/>
          <w:bCs w:val="0"/>
          <w:sz w:val="32"/>
          <w:szCs w:val="32"/>
        </w:rPr>
        <w:t>名90周岁以上高龄老人家庭进行适老化改造。</w:t>
      </w:r>
      <w:r>
        <w:rPr>
          <w:rFonts w:hint="eastAsia" w:ascii="仿宋_GB2312" w:eastAsia="仿宋_GB2312"/>
          <w:b w:val="0"/>
          <w:bCs w:val="0"/>
          <w:sz w:val="32"/>
          <w:szCs w:val="32"/>
        </w:rPr>
        <w:t>累计发放各类</w:t>
      </w:r>
      <w:r>
        <w:rPr>
          <w:rFonts w:ascii="仿宋_GB2312" w:eastAsia="仿宋_GB2312"/>
          <w:b w:val="0"/>
          <w:bCs w:val="0"/>
          <w:sz w:val="32"/>
          <w:szCs w:val="32"/>
        </w:rPr>
        <w:t>养老服务补贴4449.29万元。</w:t>
      </w:r>
      <w:r>
        <w:rPr>
          <w:rFonts w:hint="eastAsia" w:ascii="仿宋_GB2312" w:eastAsia="仿宋_GB2312"/>
          <w:b w:val="0"/>
          <w:bCs w:val="0"/>
          <w:sz w:val="32"/>
          <w:szCs w:val="32"/>
        </w:rPr>
        <w:t>在8个街道开展“社区养老互助社试点”。积极推进智慧养老平台建设，强化养老机构安全生产管理、养老家庭照护床位管理等功能。</w:t>
      </w:r>
    </w:p>
    <w:p w14:paraId="356E76F2">
      <w:pPr>
        <w:adjustRightInd w:val="0"/>
        <w:snapToGrid w:val="0"/>
        <w:spacing w:line="560" w:lineRule="exact"/>
        <w:ind w:firstLine="640" w:firstLineChars="200"/>
        <w:rPr>
          <w:rFonts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深入推进“健康海淀”建设。推动“三医”联动改革，完成第六批、第七批国家药品和医用耗材集中带量采购；落实医药服务价格改革及药品目录动态调整。试点推进“先诊疗后付费”医保就医结算新模式，38家定点医疗机构参与医保DRG付费方式改革；13家定点医疗机构跨省异地门诊慢特病直接结算试点工作取得初步成效。完善海淀区分级诊疗制度，畅通14家医联体三级医院预约转诊渠道，60家基层医疗机构1079名医师参与预约转诊工作。完成公共卫生应急管理体系建设三年行动计划，构建覆盖全区的传染病动态监测系统，设立31家发热哨点，新增13个急救站点，呼叫反应时间快于全市平均水平。积极构建“1+3+N”家庭医生服务模式，扩大签约覆盖面、增加签约服务供给、落实家庭医生签约收费机制，预计年底前全人群签约人数135.3万人，签约率43.2%；其中重点人群签约人数70万人，签约率90.</w:t>
      </w: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rPr>
        <w:t>%。群众身边体育健身设施不断完善，新建（更新）全民健身路径</w:t>
      </w:r>
      <w:r>
        <w:rPr>
          <w:rFonts w:ascii="仿宋_GB2312" w:hAnsi="仿宋_GB2312" w:eastAsia="仿宋_GB2312" w:cs="仿宋_GB2312"/>
          <w:b w:val="0"/>
          <w:bCs w:val="0"/>
          <w:kern w:val="0"/>
          <w:sz w:val="32"/>
          <w:szCs w:val="32"/>
        </w:rPr>
        <w:t>311套</w:t>
      </w:r>
      <w:r>
        <w:rPr>
          <w:rFonts w:hint="eastAsia" w:ascii="仿宋_GB2312" w:hAnsi="仿宋_GB2312" w:eastAsia="仿宋_GB2312" w:cs="仿宋_GB2312"/>
          <w:b w:val="0"/>
          <w:bCs w:val="0"/>
          <w:kern w:val="0"/>
          <w:sz w:val="32"/>
          <w:szCs w:val="32"/>
        </w:rPr>
        <w:t>、专项活动场地</w:t>
      </w:r>
      <w:r>
        <w:rPr>
          <w:rFonts w:ascii="仿宋_GB2312" w:hAnsi="仿宋_GB2312" w:eastAsia="仿宋_GB2312" w:cs="仿宋_GB2312"/>
          <w:b w:val="0"/>
          <w:bCs w:val="0"/>
          <w:kern w:val="0"/>
          <w:sz w:val="32"/>
          <w:szCs w:val="32"/>
        </w:rPr>
        <w:t>25处</w:t>
      </w:r>
      <w:r>
        <w:rPr>
          <w:rFonts w:hint="eastAsia" w:ascii="仿宋_GB2312" w:hAnsi="仿宋_GB2312" w:eastAsia="仿宋_GB2312" w:cs="仿宋_GB2312"/>
          <w:b w:val="0"/>
          <w:bCs w:val="0"/>
          <w:kern w:val="0"/>
          <w:sz w:val="32"/>
          <w:szCs w:val="32"/>
        </w:rPr>
        <w:t>，在全市率先建成社区居民“十五分钟”健身圈。</w:t>
      </w:r>
    </w:p>
    <w:p w14:paraId="480C948F">
      <w:pPr>
        <w:overflowPunct w:val="0"/>
        <w:adjustRightInd w:val="0"/>
        <w:snapToGrid w:val="0"/>
        <w:spacing w:line="560" w:lineRule="exact"/>
        <w:ind w:firstLine="640" w:firstLineChars="200"/>
        <w:rPr>
          <w:rFonts w:ascii="Calibri" w:hAnsi="Calibri"/>
          <w:b w:val="0"/>
          <w:bCs w:val="0"/>
          <w:sz w:val="32"/>
          <w:szCs w:val="32"/>
        </w:rPr>
      </w:pPr>
      <w:r>
        <w:rPr>
          <w:rFonts w:hint="eastAsia" w:ascii="仿宋_GB2312" w:hAnsi="仿宋" w:eastAsia="仿宋_GB2312" w:cs="仿宋"/>
          <w:b w:val="0"/>
          <w:bCs w:val="0"/>
          <w:sz w:val="32"/>
          <w:szCs w:val="32"/>
        </w:rPr>
        <w:t>持续优化教育资源供给。</w:t>
      </w:r>
      <w:r>
        <w:rPr>
          <w:rFonts w:hint="eastAsia" w:ascii="仿宋_GB2312" w:eastAsia="仿宋_GB2312"/>
          <w:b w:val="0"/>
          <w:bCs w:val="0"/>
          <w:sz w:val="32"/>
          <w:szCs w:val="32"/>
        </w:rPr>
        <w:t>新</w:t>
      </w:r>
      <w:r>
        <w:rPr>
          <w:rFonts w:hint="eastAsia" w:ascii="仿宋_GB2312" w:eastAsia="仿宋_GB2312"/>
          <w:b w:val="0"/>
          <w:bCs w:val="0"/>
          <w:snapToGrid w:val="0"/>
          <w:kern w:val="0"/>
          <w:sz w:val="32"/>
          <w:szCs w:val="32"/>
        </w:rPr>
        <w:t>增</w:t>
      </w:r>
      <w:r>
        <w:rPr>
          <w:rFonts w:hint="eastAsia" w:ascii="仿宋_GB2312" w:eastAsia="仿宋_GB2312"/>
          <w:b w:val="0"/>
          <w:bCs w:val="0"/>
          <w:sz w:val="32"/>
          <w:szCs w:val="32"/>
        </w:rPr>
        <w:t>幼儿园</w:t>
      </w:r>
      <w:r>
        <w:rPr>
          <w:rFonts w:ascii="仿宋_GB2312" w:eastAsia="仿宋_GB2312"/>
          <w:b w:val="0"/>
          <w:bCs w:val="0"/>
          <w:sz w:val="32"/>
          <w:szCs w:val="32"/>
        </w:rPr>
        <w:t>13所，完成实验小学紫竹院校区等10</w:t>
      </w:r>
      <w:r>
        <w:rPr>
          <w:rFonts w:hint="eastAsia" w:ascii="仿宋_GB2312" w:eastAsia="仿宋_GB2312"/>
          <w:b w:val="0"/>
          <w:bCs w:val="0"/>
          <w:sz w:val="32"/>
          <w:szCs w:val="32"/>
        </w:rPr>
        <w:t>所学校、24.3万平方米改扩建工程，全年</w:t>
      </w:r>
      <w:r>
        <w:rPr>
          <w:rFonts w:hint="eastAsia" w:ascii="仿宋_GB2312" w:hAnsi="仿宋" w:eastAsia="仿宋_GB2312"/>
          <w:b w:val="0"/>
          <w:bCs w:val="0"/>
          <w:sz w:val="32"/>
          <w:szCs w:val="32"/>
        </w:rPr>
        <w:t>新增普惠性学前学</w:t>
      </w:r>
      <w:r>
        <w:rPr>
          <w:rFonts w:hint="eastAsia" w:ascii="仿宋_GB2312" w:eastAsia="仿宋_GB2312"/>
          <w:b w:val="0"/>
          <w:bCs w:val="0"/>
          <w:sz w:val="32"/>
          <w:szCs w:val="32"/>
        </w:rPr>
        <w:t>位1350</w:t>
      </w:r>
      <w:r>
        <w:rPr>
          <w:rFonts w:ascii="仿宋_GB2312" w:eastAsia="仿宋_GB2312"/>
          <w:b w:val="0"/>
          <w:bCs w:val="0"/>
          <w:sz w:val="32"/>
          <w:szCs w:val="32"/>
        </w:rPr>
        <w:t>个、中小学学</w:t>
      </w:r>
      <w:r>
        <w:rPr>
          <w:rFonts w:hint="eastAsia" w:ascii="仿宋_GB2312" w:eastAsia="仿宋_GB2312"/>
          <w:b w:val="0"/>
          <w:bCs w:val="0"/>
          <w:sz w:val="32"/>
          <w:szCs w:val="32"/>
        </w:rPr>
        <w:t>位</w:t>
      </w:r>
      <w:r>
        <w:rPr>
          <w:rFonts w:ascii="仿宋_GB2312" w:eastAsia="仿宋_GB2312"/>
          <w:b w:val="0"/>
          <w:bCs w:val="0"/>
          <w:sz w:val="32"/>
          <w:szCs w:val="32"/>
        </w:rPr>
        <w:t>10040个</w:t>
      </w:r>
      <w:r>
        <w:rPr>
          <w:rFonts w:hint="eastAsia" w:ascii="仿宋_GB2312" w:eastAsia="仿宋_GB2312"/>
          <w:b w:val="0"/>
          <w:bCs w:val="0"/>
          <w:sz w:val="32"/>
          <w:szCs w:val="32"/>
        </w:rPr>
        <w:t>。创新集团化办学模式，探索结构更加灵活的联盟式教育集团，推进实验四小、人大</w:t>
      </w:r>
      <w:r>
        <w:rPr>
          <w:rFonts w:hint="eastAsia" w:ascii="仿宋_GB2312" w:eastAsia="仿宋_GB2312"/>
          <w:b w:val="0"/>
          <w:bCs w:val="0"/>
          <w:sz w:val="32"/>
          <w:szCs w:val="32"/>
          <w:highlight w:val="none"/>
        </w:rPr>
        <w:t>附中分校等</w:t>
      </w:r>
      <w:r>
        <w:rPr>
          <w:rFonts w:hint="eastAsia" w:ascii="仿宋_GB2312" w:eastAsia="仿宋_GB2312"/>
          <w:b w:val="0"/>
          <w:bCs w:val="0"/>
          <w:sz w:val="32"/>
          <w:szCs w:val="32"/>
          <w:highlight w:val="none"/>
          <w:lang w:val="en-US" w:eastAsia="zh-CN"/>
        </w:rPr>
        <w:t>9</w:t>
      </w:r>
      <w:r>
        <w:rPr>
          <w:rFonts w:hint="eastAsia" w:ascii="仿宋_GB2312" w:eastAsia="仿宋_GB2312"/>
          <w:b w:val="0"/>
          <w:bCs w:val="0"/>
          <w:sz w:val="32"/>
          <w:szCs w:val="32"/>
          <w:highlight w:val="none"/>
        </w:rPr>
        <w:t>所学校</w:t>
      </w:r>
      <w:r>
        <w:rPr>
          <w:rFonts w:hint="eastAsia" w:ascii="仿宋_GB2312" w:eastAsia="仿宋_GB2312"/>
          <w:b w:val="0"/>
          <w:bCs w:val="0"/>
          <w:sz w:val="32"/>
          <w:szCs w:val="32"/>
        </w:rPr>
        <w:t>纳入集团化办学</w:t>
      </w:r>
      <w:r>
        <w:rPr>
          <w:rFonts w:ascii="仿宋_GB2312" w:eastAsia="仿宋_GB2312"/>
          <w:b w:val="0"/>
          <w:bCs w:val="0"/>
          <w:sz w:val="32"/>
          <w:szCs w:val="32"/>
        </w:rPr>
        <w:t>。</w:t>
      </w:r>
      <w:r>
        <w:rPr>
          <w:rFonts w:hint="eastAsia" w:ascii="仿宋_GB2312" w:eastAsia="仿宋_GB2312"/>
          <w:b w:val="0"/>
          <w:bCs w:val="0"/>
          <w:sz w:val="32"/>
          <w:szCs w:val="32"/>
        </w:rPr>
        <w:t>扩大公办教育优质资源，将理工附中分校等7所民办学校转为或转入公办学校，增加1万个公办学位。扎实推进“双减”工作，提升课后服务质量，参加课后服务师生人数比分别为99</w:t>
      </w:r>
      <w:r>
        <w:rPr>
          <w:rFonts w:ascii="仿宋_GB2312" w:eastAsia="仿宋_GB2312"/>
          <w:b w:val="0"/>
          <w:bCs w:val="0"/>
          <w:sz w:val="32"/>
          <w:szCs w:val="32"/>
        </w:rPr>
        <w:t>%</w:t>
      </w:r>
      <w:r>
        <w:rPr>
          <w:rFonts w:hint="eastAsia" w:ascii="仿宋_GB2312" w:eastAsia="仿宋_GB2312"/>
          <w:b w:val="0"/>
          <w:bCs w:val="0"/>
          <w:sz w:val="32"/>
          <w:szCs w:val="32"/>
        </w:rPr>
        <w:t>和</w:t>
      </w:r>
      <w:r>
        <w:rPr>
          <w:rFonts w:ascii="仿宋_GB2312" w:eastAsia="仿宋_GB2312"/>
          <w:b w:val="0"/>
          <w:bCs w:val="0"/>
          <w:sz w:val="32"/>
          <w:szCs w:val="32"/>
        </w:rPr>
        <w:t>98%</w:t>
      </w:r>
      <w:r>
        <w:rPr>
          <w:rFonts w:hint="eastAsia" w:ascii="仿宋_GB2312" w:eastAsia="仿宋_GB2312"/>
          <w:b w:val="0"/>
          <w:bCs w:val="0"/>
          <w:sz w:val="32"/>
          <w:szCs w:val="32"/>
        </w:rPr>
        <w:t>；持续加强校外培训机构监管。建立10个家庭家教家风创新实践基地、4个区级试点“家庭教育指导服务站”和2个“亲子教育示范基地”。</w:t>
      </w:r>
    </w:p>
    <w:p w14:paraId="71A387EE">
      <w:pPr>
        <w:overflowPunct w:val="0"/>
        <w:adjustRightInd w:val="0"/>
        <w:snapToGrid w:val="0"/>
        <w:spacing w:line="560" w:lineRule="exact"/>
        <w:ind w:firstLine="640" w:firstLineChars="200"/>
        <w:rPr>
          <w:rFonts w:ascii="Calibri" w:hAnsi="Calibri"/>
          <w:b w:val="0"/>
          <w:bCs w:val="0"/>
          <w:sz w:val="32"/>
          <w:szCs w:val="32"/>
        </w:rPr>
      </w:pPr>
      <w:r>
        <w:rPr>
          <w:rFonts w:hint="eastAsia" w:ascii="仿宋_GB2312" w:hAnsi="仿宋_GB2312" w:eastAsia="仿宋_GB2312" w:cs="仿宋_GB2312"/>
          <w:b w:val="0"/>
          <w:bCs w:val="0"/>
          <w:kern w:val="0"/>
          <w:sz w:val="32"/>
          <w:szCs w:val="32"/>
        </w:rPr>
        <w:t>稳步实施文化惠民工程。开展“海之春”新春文化季、</w:t>
      </w:r>
      <w:r>
        <w:rPr>
          <w:rFonts w:ascii="仿宋_GB2312" w:hAnsi="仿宋_GB2312" w:eastAsia="仿宋_GB2312" w:cs="仿宋_GB2312"/>
          <w:b w:val="0"/>
          <w:bCs w:val="0"/>
          <w:kern w:val="0"/>
          <w:sz w:val="32"/>
          <w:szCs w:val="32"/>
        </w:rPr>
        <w:t>中关村国际青年艺术季</w:t>
      </w:r>
      <w:r>
        <w:rPr>
          <w:rFonts w:hint="eastAsia" w:ascii="仿宋_GB2312" w:hAnsi="仿宋_GB2312" w:eastAsia="仿宋_GB2312" w:cs="仿宋_GB2312"/>
          <w:b w:val="0"/>
          <w:bCs w:val="0"/>
          <w:kern w:val="0"/>
          <w:sz w:val="32"/>
          <w:szCs w:val="32"/>
        </w:rPr>
        <w:t>等</w:t>
      </w:r>
      <w:r>
        <w:rPr>
          <w:rFonts w:hint="eastAsia" w:ascii="仿宋_GB2312" w:hAnsi="仿宋_GB2312" w:eastAsia="仿宋_GB2312" w:cs="仿宋_GB2312"/>
          <w:b w:val="0"/>
          <w:bCs w:val="0"/>
          <w:kern w:val="0"/>
          <w:sz w:val="32"/>
          <w:szCs w:val="32"/>
          <w:lang w:val="en-US" w:eastAsia="zh-CN"/>
        </w:rPr>
        <w:t>各类线上线下文化</w:t>
      </w:r>
      <w:r>
        <w:rPr>
          <w:rFonts w:hint="eastAsia" w:ascii="仿宋_GB2312" w:hAnsi="仿宋_GB2312" w:eastAsia="仿宋_GB2312" w:cs="仿宋_GB2312"/>
          <w:b w:val="0"/>
          <w:bCs w:val="0"/>
          <w:kern w:val="0"/>
          <w:sz w:val="32"/>
          <w:szCs w:val="32"/>
        </w:rPr>
        <w:t>活动</w:t>
      </w:r>
      <w:r>
        <w:rPr>
          <w:rFonts w:hint="eastAsia" w:ascii="仿宋_GB2312" w:hAnsi="仿宋_GB2312" w:eastAsia="仿宋_GB2312" w:cs="仿宋_GB2312"/>
          <w:b w:val="0"/>
          <w:bCs w:val="0"/>
          <w:sz w:val="32"/>
          <w:szCs w:val="32"/>
          <w:lang w:val="en-US" w:eastAsia="zh-CN"/>
        </w:rPr>
        <w:t>2730</w:t>
      </w:r>
      <w:r>
        <w:rPr>
          <w:rFonts w:ascii="仿宋_GB2312" w:hAnsi="仿宋_GB2312" w:eastAsia="仿宋_GB2312" w:cs="仿宋_GB2312"/>
          <w:b w:val="0"/>
          <w:bCs w:val="0"/>
          <w:sz w:val="32"/>
          <w:szCs w:val="32"/>
        </w:rPr>
        <w:t>场</w:t>
      </w:r>
      <w:r>
        <w:rPr>
          <w:rFonts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rPr>
        <w:t>惠及群众</w:t>
      </w:r>
      <w:r>
        <w:rPr>
          <w:rFonts w:ascii="仿宋_GB2312" w:hAnsi="仿宋_GB2312" w:eastAsia="仿宋_GB2312" w:cs="仿宋_GB2312"/>
          <w:b w:val="0"/>
          <w:bCs w:val="0"/>
          <w:kern w:val="0"/>
          <w:sz w:val="32"/>
          <w:szCs w:val="32"/>
        </w:rPr>
        <w:t>2</w:t>
      </w:r>
      <w:r>
        <w:rPr>
          <w:rFonts w:hint="eastAsia" w:ascii="仿宋_GB2312" w:hAnsi="仿宋_GB2312" w:eastAsia="仿宋_GB2312" w:cs="仿宋_GB2312"/>
          <w:b w:val="0"/>
          <w:bCs w:val="0"/>
          <w:kern w:val="0"/>
          <w:sz w:val="32"/>
          <w:szCs w:val="32"/>
          <w:lang w:val="en-US" w:eastAsia="zh-CN"/>
        </w:rPr>
        <w:t>3</w:t>
      </w:r>
      <w:r>
        <w:rPr>
          <w:rFonts w:ascii="仿宋_GB2312" w:hAnsi="仿宋_GB2312" w:eastAsia="仿宋_GB2312" w:cs="仿宋_GB2312"/>
          <w:b w:val="0"/>
          <w:bCs w:val="0"/>
          <w:kern w:val="0"/>
          <w:sz w:val="32"/>
          <w:szCs w:val="32"/>
        </w:rPr>
        <w:t>75万人次</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kern w:val="0"/>
          <w:sz w:val="32"/>
          <w:szCs w:val="32"/>
        </w:rPr>
        <w:t>加快推进</w:t>
      </w:r>
      <w:r>
        <w:rPr>
          <w:rFonts w:hint="eastAsia" w:ascii="仿宋_GB2312" w:hAnsi="仿宋_GB2312" w:eastAsia="仿宋_GB2312" w:cs="仿宋_GB2312"/>
          <w:b w:val="0"/>
          <w:bCs w:val="0"/>
          <w:kern w:val="0"/>
          <w:sz w:val="32"/>
          <w:szCs w:val="32"/>
        </w:rPr>
        <w:t>集成</w:t>
      </w:r>
      <w:r>
        <w:rPr>
          <w:rFonts w:ascii="仿宋_GB2312" w:hAnsi="仿宋_GB2312" w:eastAsia="仿宋_GB2312" w:cs="仿宋_GB2312"/>
          <w:b w:val="0"/>
          <w:bCs w:val="0"/>
          <w:kern w:val="0"/>
          <w:sz w:val="32"/>
          <w:szCs w:val="32"/>
        </w:rPr>
        <w:t>电路设计园图书馆、北部文化中心图书馆二期建设</w:t>
      </w:r>
      <w:r>
        <w:rPr>
          <w:rFonts w:hint="eastAsia" w:ascii="仿宋_GB2312" w:hAnsi="仿宋_GB2312" w:eastAsia="仿宋_GB2312" w:cs="仿宋_GB2312"/>
          <w:b w:val="0"/>
          <w:bCs w:val="0"/>
          <w:kern w:val="0"/>
          <w:sz w:val="32"/>
          <w:szCs w:val="32"/>
        </w:rPr>
        <w:t>；新建小区配套文化设施</w:t>
      </w:r>
      <w:r>
        <w:rPr>
          <w:rFonts w:ascii="仿宋_GB2312" w:hAnsi="仿宋_GB2312" w:eastAsia="仿宋_GB2312" w:cs="仿宋_GB2312"/>
          <w:b w:val="0"/>
          <w:bCs w:val="0"/>
          <w:kern w:val="0"/>
          <w:sz w:val="32"/>
          <w:szCs w:val="32"/>
        </w:rPr>
        <w:t>28处</w:t>
      </w:r>
      <w:r>
        <w:rPr>
          <w:rFonts w:hint="eastAsia" w:ascii="仿宋_GB2312" w:hAnsi="仿宋_GB2312" w:eastAsia="仿宋_GB2312" w:cs="仿宋_GB2312"/>
          <w:b w:val="0"/>
          <w:bCs w:val="0"/>
          <w:kern w:val="0"/>
          <w:sz w:val="32"/>
          <w:szCs w:val="32"/>
        </w:rPr>
        <w:t>、</w:t>
      </w:r>
      <w:r>
        <w:rPr>
          <w:rFonts w:ascii="仿宋_GB2312" w:hAnsi="仿宋_GB2312" w:eastAsia="仿宋_GB2312" w:cs="仿宋_GB2312"/>
          <w:b w:val="0"/>
          <w:bCs w:val="0"/>
          <w:kern w:val="0"/>
          <w:sz w:val="32"/>
          <w:szCs w:val="32"/>
        </w:rPr>
        <w:t>3.8</w:t>
      </w:r>
      <w:r>
        <w:rPr>
          <w:rFonts w:hint="eastAsia" w:ascii="仿宋_GB2312" w:hAnsi="仿宋_GB2312" w:eastAsia="仿宋_GB2312" w:cs="仿宋_GB2312"/>
          <w:b w:val="0"/>
          <w:bCs w:val="0"/>
          <w:kern w:val="0"/>
          <w:sz w:val="32"/>
          <w:szCs w:val="32"/>
        </w:rPr>
        <w:t>万</w:t>
      </w:r>
      <w:r>
        <w:rPr>
          <w:rFonts w:ascii="仿宋_GB2312" w:hAnsi="仿宋_GB2312" w:eastAsia="仿宋_GB2312" w:cs="仿宋_GB2312"/>
          <w:b w:val="0"/>
          <w:bCs w:val="0"/>
          <w:kern w:val="0"/>
          <w:sz w:val="32"/>
          <w:szCs w:val="32"/>
        </w:rPr>
        <w:t>平方米。依托“文旅@海淀”</w:t>
      </w:r>
      <w:r>
        <w:rPr>
          <w:rFonts w:hint="eastAsia" w:ascii="仿宋_GB2312" w:hAnsi="仿宋_GB2312" w:eastAsia="仿宋_GB2312" w:cs="仿宋_GB2312"/>
          <w:b w:val="0"/>
          <w:bCs w:val="0"/>
          <w:kern w:val="0"/>
          <w:sz w:val="32"/>
          <w:szCs w:val="32"/>
        </w:rPr>
        <w:t>等</w:t>
      </w:r>
      <w:r>
        <w:rPr>
          <w:rFonts w:ascii="仿宋_GB2312" w:hAnsi="仿宋_GB2312" w:eastAsia="仿宋_GB2312" w:cs="仿宋_GB2312"/>
          <w:b w:val="0"/>
          <w:bCs w:val="0"/>
          <w:kern w:val="0"/>
          <w:sz w:val="32"/>
          <w:szCs w:val="32"/>
        </w:rPr>
        <w:t>新媒体矩阵，“云端”推出“三山五园”系列数字微慕课、民族音乐“艺起来”线上音乐会。</w:t>
      </w:r>
      <w:r>
        <w:rPr>
          <w:rFonts w:hint="eastAsia" w:ascii="仿宋_GB2312" w:hAnsi="仿宋_GB2312" w:eastAsia="仿宋_GB2312" w:cs="仿宋_GB2312"/>
          <w:b w:val="0"/>
          <w:bCs w:val="0"/>
          <w:sz w:val="32"/>
          <w:szCs w:val="32"/>
        </w:rPr>
        <w:t>开展</w:t>
      </w:r>
      <w:r>
        <w:rPr>
          <w:rFonts w:ascii="仿宋_GB2312" w:hAnsi="仿宋_GB2312" w:eastAsia="仿宋_GB2312" w:cs="仿宋_GB2312"/>
          <w:b w:val="0"/>
          <w:bCs w:val="0"/>
          <w:sz w:val="32"/>
          <w:szCs w:val="32"/>
        </w:rPr>
        <w:t>清华园</w:t>
      </w:r>
      <w:r>
        <w:rPr>
          <w:rFonts w:hint="eastAsia" w:ascii="仿宋_GB2312" w:hAnsi="仿宋_GB2312" w:eastAsia="仿宋_GB2312" w:cs="仿宋_GB2312"/>
          <w:b w:val="0"/>
          <w:bCs w:val="0"/>
          <w:sz w:val="32"/>
          <w:szCs w:val="32"/>
        </w:rPr>
        <w:t>火</w:t>
      </w:r>
      <w:r>
        <w:rPr>
          <w:rFonts w:ascii="仿宋_GB2312" w:hAnsi="仿宋_GB2312" w:eastAsia="仿宋_GB2312" w:cs="仿宋_GB2312"/>
          <w:b w:val="0"/>
          <w:bCs w:val="0"/>
          <w:sz w:val="32"/>
          <w:szCs w:val="32"/>
        </w:rPr>
        <w:t>车站等文物修缮工程，推进三山五园国家文物保护利用示范区</w:t>
      </w:r>
      <w:r>
        <w:rPr>
          <w:rFonts w:hint="eastAsia" w:ascii="仿宋_GB2312" w:hAnsi="仿宋_GB2312" w:eastAsia="仿宋_GB2312" w:cs="仿宋_GB2312"/>
          <w:b w:val="0"/>
          <w:bCs w:val="0"/>
          <w:sz w:val="32"/>
          <w:szCs w:val="32"/>
        </w:rPr>
        <w:t>建设</w:t>
      </w:r>
      <w:r>
        <w:rPr>
          <w:rFonts w:ascii="仿宋_GB2312" w:hAnsi="仿宋_GB2312" w:eastAsia="仿宋_GB2312" w:cs="仿宋_GB2312"/>
          <w:b w:val="0"/>
          <w:bCs w:val="0"/>
          <w:sz w:val="32"/>
          <w:szCs w:val="32"/>
        </w:rPr>
        <w:t>。</w:t>
      </w:r>
    </w:p>
    <w:p w14:paraId="7AF10144">
      <w:pPr>
        <w:adjustRightInd w:val="0"/>
        <w:snapToGrid w:val="0"/>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社会治理能力稳步提升。不断深入推进“接诉即办”，以“每月一题”形式解决重点民生诉求，承办</w:t>
      </w:r>
      <w:r>
        <w:rPr>
          <w:rFonts w:ascii="仿宋_GB2312" w:hAnsi="仿宋_GB2312" w:eastAsia="仿宋_GB2312" w:cs="仿宋_GB2312"/>
          <w:b w:val="0"/>
          <w:bCs w:val="0"/>
          <w:sz w:val="32"/>
          <w:szCs w:val="32"/>
        </w:rPr>
        <w:t>12345直派和转派案件</w:t>
      </w:r>
      <w:r>
        <w:rPr>
          <w:rFonts w:hint="eastAsia" w:ascii="仿宋_GB2312" w:hAnsi="仿宋_GB2312" w:eastAsia="仿宋_GB2312" w:cs="仿宋_GB2312"/>
          <w:b w:val="0"/>
          <w:bCs w:val="0"/>
          <w:sz w:val="32"/>
          <w:szCs w:val="32"/>
          <w:lang w:val="en-US" w:eastAsia="zh-CN"/>
        </w:rPr>
        <w:t>107.6</w:t>
      </w:r>
      <w:r>
        <w:rPr>
          <w:rFonts w:hint="eastAsia" w:ascii="仿宋_GB2312" w:hAnsi="仿宋_GB2312" w:eastAsia="仿宋_GB2312" w:cs="仿宋_GB2312"/>
          <w:b w:val="0"/>
          <w:bCs w:val="0"/>
          <w:sz w:val="32"/>
          <w:szCs w:val="32"/>
        </w:rPr>
        <w:t>万余件，响应率98.60%、解决率92.37%、满意率93.73%</w:t>
      </w:r>
      <w:r>
        <w:rPr>
          <w:rFonts w:ascii="仿宋_GB2312" w:hAnsi="仿宋_GB2312" w:eastAsia="仿宋_GB2312" w:cs="仿宋_GB2312"/>
          <w:b w:val="0"/>
          <w:bCs w:val="0"/>
          <w:sz w:val="32"/>
          <w:szCs w:val="32"/>
        </w:rPr>
        <w:t>。</w:t>
      </w:r>
      <w:r>
        <w:rPr>
          <w:rFonts w:hint="eastAsia" w:ascii="仿宋_GB2312" w:hAnsi="Calibri Light" w:eastAsia="仿宋_GB2312" w:cs="Calibri Light"/>
          <w:b w:val="0"/>
          <w:bCs w:val="0"/>
          <w:sz w:val="32"/>
          <w:szCs w:val="32"/>
        </w:rPr>
        <w:t>强化垃圾综合治理，</w:t>
      </w:r>
      <w:r>
        <w:rPr>
          <w:rFonts w:hint="eastAsia" w:ascii="仿宋_GB2312" w:hAnsi="黑体" w:eastAsia="仿宋_GB2312"/>
          <w:b w:val="0"/>
          <w:bCs w:val="0"/>
          <w:sz w:val="32"/>
          <w:szCs w:val="32"/>
        </w:rPr>
        <w:t>垃圾日均产量1708.74吨，同比下降2.4%，</w:t>
      </w:r>
      <w:r>
        <w:rPr>
          <w:rFonts w:ascii="仿宋_GB2312" w:hAnsi="仿宋_GB2312" w:eastAsia="仿宋_GB2312" w:cs="仿宋_GB2312"/>
          <w:b w:val="0"/>
          <w:bCs w:val="0"/>
          <w:sz w:val="32"/>
          <w:szCs w:val="32"/>
        </w:rPr>
        <w:t>非居民厨余垃圾规范收运率达91%</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大工村生活垃圾处理终端设施改造完成，生活垃圾实现100%无害化处理</w:t>
      </w:r>
      <w:r>
        <w:rPr>
          <w:rFonts w:hint="eastAsia" w:ascii="仿宋_GB2312" w:hAnsi="仿宋_GB2312" w:eastAsia="仿宋_GB2312" w:cs="仿宋_GB2312"/>
          <w:b w:val="0"/>
          <w:bCs w:val="0"/>
          <w:sz w:val="32"/>
          <w:szCs w:val="32"/>
        </w:rPr>
        <w:t>。社区治理提质升级</w:t>
      </w:r>
      <w:r>
        <w:rPr>
          <w:rFonts w:hint="eastAsia" w:ascii="仿宋_GB2312" w:hAnsi="Calibri Light" w:eastAsia="仿宋_GB2312" w:cs="Calibri Light"/>
          <w:b w:val="0"/>
          <w:bCs w:val="0"/>
          <w:sz w:val="32"/>
          <w:szCs w:val="32"/>
        </w:rPr>
        <w:t>，业委会（物管会）组建率98.73%，党组织和物业服务覆盖率分别达100%、97.45%；建成区级社区议事厅15个</w:t>
      </w:r>
      <w:r>
        <w:rPr>
          <w:rFonts w:hint="eastAsia" w:ascii="仿宋_GB2312" w:hAnsi="宋体" w:eastAsia="仿宋_GB2312"/>
          <w:b w:val="0"/>
          <w:bCs w:val="0"/>
          <w:sz w:val="32"/>
          <w:szCs w:val="32"/>
        </w:rPr>
        <w:t>，组织申报</w:t>
      </w:r>
      <w:r>
        <w:rPr>
          <w:rFonts w:ascii="仿宋_GB2312" w:hAnsi="仿宋_GB2312" w:eastAsia="仿宋_GB2312" w:cs="仿宋_GB2312"/>
          <w:b w:val="0"/>
          <w:bCs w:val="0"/>
          <w:sz w:val="32"/>
          <w:szCs w:val="32"/>
        </w:rPr>
        <w:t>51个</w:t>
      </w:r>
      <w:r>
        <w:rPr>
          <w:rFonts w:hint="eastAsia" w:ascii="仿宋_GB2312" w:hAnsi="仿宋_GB2312" w:eastAsia="仿宋_GB2312" w:cs="仿宋_GB2312"/>
          <w:b w:val="0"/>
          <w:bCs w:val="0"/>
          <w:sz w:val="32"/>
          <w:szCs w:val="32"/>
        </w:rPr>
        <w:t>“伙伴小区”，</w:t>
      </w:r>
      <w:r>
        <w:rPr>
          <w:rFonts w:ascii="仿宋_GB2312" w:hAnsi="仿宋_GB2312" w:eastAsia="仿宋_GB2312" w:cs="仿宋_GB2312"/>
          <w:b w:val="0"/>
          <w:bCs w:val="0"/>
          <w:sz w:val="32"/>
          <w:szCs w:val="32"/>
        </w:rPr>
        <w:t>厂洼街7号院成功入选住建部全国“美好家园”典型案例。</w:t>
      </w:r>
      <w:r>
        <w:rPr>
          <w:rFonts w:ascii="仿宋_GB2312" w:hAnsi="宋体" w:eastAsia="仿宋_GB2312"/>
          <w:b w:val="0"/>
          <w:bCs w:val="0"/>
          <w:sz w:val="32"/>
          <w:szCs w:val="32"/>
        </w:rPr>
        <w:t>完成全国乡村治理体系建设试点任务</w:t>
      </w:r>
      <w:r>
        <w:rPr>
          <w:rFonts w:hint="eastAsia" w:ascii="仿宋_GB2312" w:hAnsi="宋体" w:eastAsia="仿宋_GB2312"/>
          <w:b w:val="0"/>
          <w:bCs w:val="0"/>
          <w:sz w:val="32"/>
          <w:szCs w:val="32"/>
        </w:rPr>
        <w:t>。</w:t>
      </w:r>
      <w:r>
        <w:rPr>
          <w:rFonts w:hint="eastAsia" w:ascii="仿宋_GB2312" w:hAnsi="仿宋_GB2312" w:eastAsia="仿宋_GB2312" w:cs="仿宋_GB2312"/>
          <w:b w:val="0"/>
          <w:bCs w:val="0"/>
          <w:sz w:val="32"/>
          <w:szCs w:val="32"/>
        </w:rPr>
        <w:t>获评“国家食品安全示范城市”称号。</w:t>
      </w:r>
      <w:r>
        <w:rPr>
          <w:rFonts w:hint="eastAsia" w:ascii="仿宋_GB2312" w:hAnsi="仿宋_GB2312" w:eastAsia="仿宋_GB2312" w:cs="仿宋_GB2312"/>
          <w:b w:val="0"/>
          <w:bCs w:val="0"/>
          <w:kern w:val="0"/>
          <w:sz w:val="32"/>
          <w:szCs w:val="32"/>
        </w:rPr>
        <w:t>平安海淀、法治海淀建设成效显著，</w:t>
      </w:r>
      <w:r>
        <w:rPr>
          <w:rFonts w:hint="eastAsia" w:ascii="仿宋_GB2312" w:hAnsi="仿宋_GB2312" w:eastAsia="仿宋_GB2312" w:cs="仿宋_GB2312"/>
          <w:b w:val="0"/>
          <w:bCs w:val="0"/>
          <w:sz w:val="32"/>
          <w:szCs w:val="32"/>
        </w:rPr>
        <w:t>妇女儿童、民族宗教侨务、民防、气象、档案等各项工作均取得新成绩。</w:t>
      </w:r>
    </w:p>
    <w:p w14:paraId="7C7C7138">
      <w:pPr>
        <w:adjustRightInd w:val="0"/>
        <w:snapToGrid w:val="0"/>
        <w:spacing w:line="560" w:lineRule="exact"/>
        <w:ind w:firstLine="640" w:firstLineChars="200"/>
        <w:rPr>
          <w:rFonts w:ascii="仿宋_GB2312" w:eastAsia="仿宋_GB2312"/>
          <w:b w:val="0"/>
          <w:bCs w:val="0"/>
          <w:kern w:val="0"/>
          <w:sz w:val="32"/>
          <w:szCs w:val="32"/>
        </w:rPr>
      </w:pPr>
      <w:r>
        <w:rPr>
          <w:rFonts w:ascii="仿宋_GB2312" w:eastAsia="仿宋_GB2312"/>
          <w:b w:val="0"/>
          <w:bCs w:val="0"/>
          <w:kern w:val="0"/>
          <w:sz w:val="32"/>
          <w:szCs w:val="32"/>
        </w:rPr>
        <w:t>202</w:t>
      </w:r>
      <w:r>
        <w:rPr>
          <w:rFonts w:hint="eastAsia" w:ascii="仿宋_GB2312" w:eastAsia="仿宋_GB2312"/>
          <w:b w:val="0"/>
          <w:bCs w:val="0"/>
          <w:kern w:val="0"/>
          <w:sz w:val="32"/>
          <w:szCs w:val="32"/>
        </w:rPr>
        <w:t>2</w:t>
      </w:r>
      <w:r>
        <w:rPr>
          <w:rFonts w:ascii="仿宋_GB2312" w:eastAsia="仿宋_GB2312"/>
          <w:b w:val="0"/>
          <w:bCs w:val="0"/>
          <w:kern w:val="0"/>
          <w:sz w:val="32"/>
          <w:szCs w:val="32"/>
        </w:rPr>
        <w:t>年31项计划指标中</w:t>
      </w:r>
      <w:r>
        <w:rPr>
          <w:rFonts w:hint="eastAsia" w:ascii="仿宋_GB2312" w:eastAsia="仿宋_GB2312"/>
          <w:b w:val="0"/>
          <w:bCs w:val="0"/>
          <w:kern w:val="0"/>
          <w:sz w:val="32"/>
          <w:szCs w:val="32"/>
        </w:rPr>
        <w:t>，常住人口规模、生产生活用水总量</w:t>
      </w:r>
      <w:r>
        <w:rPr>
          <w:rFonts w:ascii="仿宋_GB2312" w:eastAsia="仿宋_GB2312"/>
          <w:b w:val="0"/>
          <w:bCs w:val="0"/>
          <w:kern w:val="0"/>
          <w:sz w:val="32"/>
          <w:szCs w:val="32"/>
        </w:rPr>
        <w:t>等27项指标完成年初计划目标</w:t>
      </w:r>
      <w:r>
        <w:rPr>
          <w:rFonts w:hint="eastAsia" w:ascii="仿宋_GB2312" w:eastAsia="仿宋_GB2312"/>
          <w:b w:val="0"/>
          <w:bCs w:val="0"/>
          <w:kern w:val="0"/>
          <w:sz w:val="32"/>
          <w:szCs w:val="32"/>
        </w:rPr>
        <w:t>，尤其是园区企业研发投入强度、PCT专利申请量等反映科技创新的指标，以及新增学位、停车位等民生指标均超额完成计划任务。受</w:t>
      </w:r>
      <w:r>
        <w:rPr>
          <w:rFonts w:hint="eastAsia" w:ascii="仿宋_GB2312" w:hAnsi="仿宋" w:eastAsia="仿宋_GB2312" w:cs="仿宋"/>
          <w:b w:val="0"/>
          <w:bCs w:val="0"/>
          <w:sz w:val="32"/>
          <w:szCs w:val="32"/>
        </w:rPr>
        <w:t>国内疫情多发散发等超预期突发因素影响</w:t>
      </w:r>
      <w:r>
        <w:rPr>
          <w:rFonts w:hint="eastAsia" w:ascii="仿宋_GB2312" w:eastAsia="仿宋_GB2312"/>
          <w:b w:val="0"/>
          <w:bCs w:val="0"/>
          <w:kern w:val="0"/>
          <w:sz w:val="32"/>
          <w:szCs w:val="32"/>
        </w:rPr>
        <w:t>，企业经营收入下降，地区生产总值、自贸区企业收入、规模以上高新技术企业总收入等反映经济增长的指标</w:t>
      </w:r>
      <w:r>
        <w:rPr>
          <w:rFonts w:hint="eastAsia" w:ascii="仿宋_GB2312" w:eastAsia="仿宋_GB2312"/>
          <w:b w:val="0"/>
          <w:bCs w:val="0"/>
          <w:kern w:val="0"/>
          <w:sz w:val="32"/>
          <w:szCs w:val="32"/>
          <w:lang w:eastAsia="zh-CN"/>
        </w:rPr>
        <w:t>好于预期但</w:t>
      </w:r>
      <w:r>
        <w:rPr>
          <w:rFonts w:hint="eastAsia" w:ascii="仿宋_GB2312" w:eastAsia="仿宋_GB2312"/>
          <w:b w:val="0"/>
          <w:bCs w:val="0"/>
          <w:kern w:val="0"/>
          <w:sz w:val="32"/>
          <w:szCs w:val="32"/>
        </w:rPr>
        <w:t>距年初目标尚有差距</w:t>
      </w:r>
      <w:r>
        <w:rPr>
          <w:rFonts w:hint="eastAsia" w:ascii="仿宋_GB2312" w:eastAsia="仿宋_GB2312"/>
          <w:b w:val="0"/>
          <w:bCs w:val="0"/>
          <w:kern w:val="0"/>
          <w:sz w:val="32"/>
          <w:szCs w:val="32"/>
          <w:lang w:eastAsia="zh-CN"/>
        </w:rPr>
        <w:t>，区级</w:t>
      </w:r>
      <w:r>
        <w:rPr>
          <w:rFonts w:hint="eastAsia" w:ascii="仿宋_GB2312" w:eastAsia="仿宋_GB2312"/>
          <w:b w:val="0"/>
          <w:bCs w:val="0"/>
          <w:kern w:val="0"/>
          <w:sz w:val="32"/>
          <w:szCs w:val="32"/>
        </w:rPr>
        <w:t>一般公共预算收入在更大规模减税降费的情况下增长0.1%</w:t>
      </w:r>
      <w:r>
        <w:rPr>
          <w:rFonts w:hint="eastAsia" w:ascii="仿宋_GB2312" w:eastAsia="仿宋_GB2312"/>
          <w:b w:val="0"/>
          <w:bCs w:val="0"/>
          <w:kern w:val="0"/>
          <w:sz w:val="32"/>
          <w:szCs w:val="32"/>
          <w:lang w:eastAsia="zh-CN"/>
        </w:rPr>
        <w:t>，殊为不易</w:t>
      </w:r>
      <w:r>
        <w:rPr>
          <w:rFonts w:ascii="仿宋_GB2312" w:eastAsia="仿宋_GB2312"/>
          <w:b w:val="0"/>
          <w:bCs w:val="0"/>
          <w:kern w:val="0"/>
          <w:sz w:val="32"/>
          <w:szCs w:val="32"/>
        </w:rPr>
        <w:t>。</w:t>
      </w:r>
    </w:p>
    <w:p w14:paraId="494F6B12">
      <w:pPr>
        <w:adjustRightInd w:val="0"/>
        <w:snapToGrid w:val="0"/>
        <w:spacing w:line="560" w:lineRule="exact"/>
        <w:ind w:firstLine="640" w:firstLineChars="200"/>
        <w:rPr>
          <w:rFonts w:ascii="仿宋_GB2312" w:hAnsi="仿宋" w:eastAsia="仿宋_GB2312" w:cs="仿宋"/>
          <w:b w:val="0"/>
          <w:bCs w:val="0"/>
          <w:sz w:val="32"/>
          <w:szCs w:val="32"/>
        </w:rPr>
      </w:pPr>
      <w:r>
        <w:rPr>
          <w:rFonts w:hint="eastAsia" w:ascii="仿宋_GB2312" w:eastAsia="仿宋_GB2312"/>
          <w:b w:val="0"/>
          <w:bCs w:val="0"/>
          <w:kern w:val="0"/>
          <w:sz w:val="32"/>
          <w:szCs w:val="32"/>
        </w:rPr>
        <w:t>过去一年，海淀区各项</w:t>
      </w:r>
      <w:r>
        <w:rPr>
          <w:rFonts w:hint="eastAsia" w:ascii="仿宋_GB2312" w:hAnsi="仿宋_GB2312" w:eastAsia="仿宋_GB2312" w:cs="仿宋_GB2312"/>
          <w:b w:val="0"/>
          <w:bCs w:val="0"/>
          <w:sz w:val="32"/>
          <w:szCs w:val="32"/>
        </w:rPr>
        <w:t>政策执行有力有效，经济社会大局总体平稳，区域创新和跨越式高质量发展取得成效，这是在区委坚强领导下，全区上下团结协作、攻坚克难的结果。同时，也要客观清醒认识到，</w:t>
      </w:r>
      <w:r>
        <w:rPr>
          <w:rFonts w:hint="eastAsia" w:ascii="仿宋_GB2312" w:hAnsi="仿宋" w:eastAsia="仿宋_GB2312" w:cs="仿宋"/>
          <w:b w:val="0"/>
          <w:bCs w:val="0"/>
          <w:sz w:val="32"/>
          <w:szCs w:val="32"/>
        </w:rPr>
        <w:t>影响区域发展的困难和挑战逐渐增多</w:t>
      </w:r>
      <w:r>
        <w:rPr>
          <w:rFonts w:hint="eastAsia" w:ascii="仿宋_GB2312" w:hAnsi="仿宋" w:eastAsia="仿宋_GB2312"/>
          <w:b w:val="0"/>
          <w:bCs w:val="0"/>
          <w:kern w:val="0"/>
          <w:sz w:val="32"/>
          <w:szCs w:val="32"/>
        </w:rPr>
        <w:t>。</w:t>
      </w:r>
      <w:r>
        <w:rPr>
          <w:rFonts w:hint="eastAsia" w:ascii="仿宋_GB2312" w:hAnsi="仿宋_GB2312" w:eastAsia="仿宋_GB2312" w:cs="仿宋_GB2312"/>
          <w:b w:val="0"/>
          <w:bCs w:val="0"/>
          <w:sz w:val="32"/>
          <w:szCs w:val="32"/>
        </w:rPr>
        <w:t>一是外部环境复杂严峻，增加了未来不确定性。</w:t>
      </w:r>
      <w:r>
        <w:rPr>
          <w:rFonts w:hint="eastAsia" w:ascii="仿宋_GB2312" w:hAnsi="宋体" w:eastAsia="仿宋_GB2312"/>
          <w:b w:val="0"/>
          <w:bCs w:val="0"/>
          <w:sz w:val="32"/>
          <w:szCs w:val="32"/>
        </w:rPr>
        <w:t>电子、汽车等领域全球消费疲软使我区工业、批发零售业恢复面临较大压力；疫情政策调整后，短期内病例数上升使住宿餐饮业、文体娱业、商务服务业等行业回暖步伐放缓，</w:t>
      </w:r>
      <w:r>
        <w:rPr>
          <w:rFonts w:hint="eastAsia" w:ascii="仿宋_GB2312" w:eastAsia="仿宋_GB2312"/>
          <w:b w:val="0"/>
          <w:bCs w:val="0"/>
          <w:sz w:val="32"/>
          <w:szCs w:val="32"/>
        </w:rPr>
        <w:t>迫切需要培育、壮大新的经济支撑点，持续优化企业发展环境，进一步激发各类市场主体活力，稳定发展预期、提振发展信心。二</w:t>
      </w:r>
      <w:r>
        <w:rPr>
          <w:rFonts w:hint="eastAsia" w:ascii="仿宋_GB2312" w:hAnsi="仿宋_GB2312" w:eastAsia="仿宋_GB2312" w:cs="仿宋_GB2312"/>
          <w:b w:val="0"/>
          <w:bCs w:val="0"/>
          <w:sz w:val="32"/>
          <w:szCs w:val="32"/>
        </w:rPr>
        <w:t>是</w:t>
      </w:r>
      <w:r>
        <w:rPr>
          <w:rFonts w:hint="eastAsia" w:ascii="仿宋_GB2312" w:hAnsi="仿宋" w:eastAsia="仿宋_GB2312"/>
          <w:b w:val="0"/>
          <w:bCs w:val="0"/>
          <w:sz w:val="32"/>
          <w:szCs w:val="32"/>
        </w:rPr>
        <w:t>与率先建成世界一流科技园区目标要求相比，在体制机制创新等方面还有差距，在基础研究、原始创新和关键核心技术方面还需要新的突破，</w:t>
      </w:r>
      <w:r>
        <w:rPr>
          <w:rFonts w:ascii="仿宋_GB2312" w:hAnsi="仿宋_GB2312" w:eastAsia="仿宋_GB2312" w:cs="仿宋_GB2312"/>
          <w:b w:val="0"/>
          <w:bCs w:val="0"/>
          <w:sz w:val="32"/>
          <w:szCs w:val="32"/>
        </w:rPr>
        <w:t>具有技术主导权的世界级产业集群和领军企业</w:t>
      </w:r>
      <w:r>
        <w:rPr>
          <w:rFonts w:hint="eastAsia" w:ascii="仿宋_GB2312" w:hAnsi="仿宋_GB2312" w:eastAsia="仿宋_GB2312" w:cs="仿宋_GB2312"/>
          <w:b w:val="0"/>
          <w:bCs w:val="0"/>
          <w:sz w:val="32"/>
          <w:szCs w:val="32"/>
        </w:rPr>
        <w:t>不够充足</w:t>
      </w:r>
      <w:r>
        <w:rPr>
          <w:rFonts w:hint="eastAsia" w:ascii="仿宋_GB2312" w:hAnsi="仿宋" w:eastAsia="仿宋_GB2312"/>
          <w:b w:val="0"/>
          <w:bCs w:val="0"/>
          <w:sz w:val="32"/>
          <w:szCs w:val="32"/>
        </w:rPr>
        <w:t>。</w:t>
      </w:r>
      <w:r>
        <w:rPr>
          <w:rFonts w:hint="eastAsia" w:eastAsia="仿宋_GB2312"/>
          <w:b w:val="0"/>
          <w:bCs w:val="0"/>
          <w:sz w:val="32"/>
          <w:szCs w:val="32"/>
        </w:rPr>
        <w:t>三是城市品质提升进入“攻坚期”。在减量发展大背景下，受拆迁腾退成本高、资金压力大等因素影响，</w:t>
      </w:r>
      <w:r>
        <w:rPr>
          <w:rFonts w:hint="eastAsia" w:ascii="仿宋_GB2312" w:hAnsi="仿宋_GB2312" w:eastAsia="仿宋_GB2312" w:cs="仿宋_GB2312"/>
          <w:b w:val="0"/>
          <w:bCs w:val="0"/>
          <w:sz w:val="32"/>
          <w:szCs w:val="32"/>
        </w:rPr>
        <w:t>科学城南区结构优化、功能完善和北区公共服务、基层治理补短板等各类难题，仍需</w:t>
      </w:r>
      <w:r>
        <w:rPr>
          <w:rFonts w:hint="eastAsia" w:eastAsia="仿宋_GB2312"/>
          <w:b w:val="0"/>
          <w:bCs w:val="0"/>
          <w:sz w:val="32"/>
          <w:szCs w:val="32"/>
        </w:rPr>
        <w:t>探索破解路径。</w:t>
      </w:r>
      <w:r>
        <w:rPr>
          <w:rFonts w:hint="eastAsia" w:ascii="仿宋_GB2312" w:hAnsi="仿宋" w:eastAsia="仿宋_GB2312" w:cs="仿宋"/>
          <w:b w:val="0"/>
          <w:bCs w:val="0"/>
          <w:sz w:val="32"/>
          <w:szCs w:val="32"/>
        </w:rPr>
        <w:t>四是</w:t>
      </w:r>
      <w:r>
        <w:rPr>
          <w:rFonts w:hint="eastAsia" w:ascii="仿宋_GB2312" w:hAnsi="仿宋_GB2312" w:eastAsia="仿宋_GB2312" w:cs="仿宋_GB2312"/>
          <w:b w:val="0"/>
          <w:bCs w:val="0"/>
          <w:sz w:val="32"/>
          <w:szCs w:val="32"/>
        </w:rPr>
        <w:t>对标“七有”“五性”，民生保障仍需加大力度。</w:t>
      </w:r>
      <w:r>
        <w:rPr>
          <w:rFonts w:hint="eastAsia" w:ascii="仿宋_GB2312" w:hAnsi="仿宋" w:eastAsia="仿宋_GB2312" w:cs="仿宋"/>
          <w:b w:val="0"/>
          <w:bCs w:val="0"/>
          <w:sz w:val="32"/>
          <w:szCs w:val="32"/>
        </w:rPr>
        <w:t>医疗、教育、养老等</w:t>
      </w:r>
      <w:r>
        <w:rPr>
          <w:rFonts w:hint="eastAsia" w:ascii="仿宋_GB2312" w:hAnsi="仿宋_GB2312" w:eastAsia="仿宋_GB2312" w:cs="仿宋_GB2312"/>
          <w:b w:val="0"/>
          <w:bCs w:val="0"/>
          <w:sz w:val="32"/>
          <w:szCs w:val="32"/>
        </w:rPr>
        <w:t>民生资源存量配置不协调与增量发展不足并存</w:t>
      </w:r>
      <w:r>
        <w:rPr>
          <w:rFonts w:hint="eastAsia" w:ascii="仿宋_GB2312" w:hAnsi="仿宋" w:eastAsia="仿宋_GB2312" w:cs="仿宋"/>
          <w:b w:val="0"/>
          <w:bCs w:val="0"/>
          <w:sz w:val="32"/>
          <w:szCs w:val="32"/>
        </w:rPr>
        <w:t>，需要加大工作力度、创新工作模式、抓实抓细见成效。</w:t>
      </w:r>
    </w:p>
    <w:p w14:paraId="2D7C623A">
      <w:pPr>
        <w:adjustRightInd w:val="0"/>
        <w:snapToGrid w:val="0"/>
        <w:spacing w:line="560" w:lineRule="exact"/>
        <w:ind w:firstLine="640" w:firstLineChars="200"/>
        <w:rPr>
          <w:rFonts w:ascii="黑体" w:hAnsi="黑体" w:eastAsia="黑体"/>
          <w:b w:val="0"/>
          <w:bCs w:val="0"/>
          <w:sz w:val="32"/>
          <w:szCs w:val="32"/>
        </w:rPr>
      </w:pPr>
      <w:r>
        <w:rPr>
          <w:rFonts w:hint="eastAsia" w:ascii="黑体" w:hAnsi="黑体" w:eastAsia="黑体"/>
          <w:b w:val="0"/>
          <w:bCs w:val="0"/>
          <w:sz w:val="32"/>
          <w:szCs w:val="32"/>
        </w:rPr>
        <w:t>二、</w:t>
      </w:r>
      <w:r>
        <w:rPr>
          <w:rFonts w:ascii="黑体" w:hAnsi="黑体" w:eastAsia="黑体"/>
          <w:b w:val="0"/>
          <w:bCs w:val="0"/>
          <w:sz w:val="32"/>
          <w:szCs w:val="32"/>
        </w:rPr>
        <w:t>2023年经济社会发展的主要任务及工作措施</w:t>
      </w:r>
    </w:p>
    <w:p w14:paraId="3BB64259">
      <w:pPr>
        <w:adjustRightInd w:val="0"/>
        <w:snapToGrid w:val="0"/>
        <w:spacing w:line="560" w:lineRule="exact"/>
        <w:ind w:firstLine="640" w:firstLineChars="200"/>
        <w:rPr>
          <w:rFonts w:ascii="仿宋_GB2312" w:hAnsi="仿宋" w:eastAsia="仿宋_GB2312"/>
          <w:b w:val="0"/>
          <w:bCs w:val="0"/>
          <w:sz w:val="32"/>
          <w:szCs w:val="32"/>
        </w:rPr>
      </w:pPr>
      <w:r>
        <w:rPr>
          <w:rFonts w:ascii="仿宋_GB2312" w:hAnsi="仿宋" w:eastAsia="仿宋_GB2312"/>
          <w:b w:val="0"/>
          <w:bCs w:val="0"/>
          <w:sz w:val="32"/>
          <w:szCs w:val="32"/>
        </w:rPr>
        <w:t>2023年是全面贯彻落实党的二十大精神的开局之年</w:t>
      </w:r>
      <w:r>
        <w:rPr>
          <w:rFonts w:hint="eastAsia" w:ascii="仿宋_GB2312" w:hAnsi="仿宋" w:eastAsia="仿宋_GB2312"/>
          <w:b w:val="0"/>
          <w:bCs w:val="0"/>
          <w:sz w:val="32"/>
          <w:szCs w:val="32"/>
        </w:rPr>
        <w:t>，做好全年经济社会发展各项工作，具有里程碑、标志性意义。</w:t>
      </w:r>
      <w:r>
        <w:rPr>
          <w:rFonts w:ascii="仿宋_GB2312" w:hAnsi="仿宋" w:eastAsia="仿宋_GB2312"/>
          <w:b w:val="0"/>
          <w:bCs w:val="0"/>
          <w:sz w:val="32"/>
          <w:szCs w:val="32"/>
        </w:rPr>
        <w:t>2023</w:t>
      </w:r>
      <w:r>
        <w:rPr>
          <w:rFonts w:hint="eastAsia" w:ascii="仿宋_GB2312" w:hAnsi="仿宋" w:eastAsia="仿宋_GB2312"/>
          <w:b w:val="0"/>
          <w:bCs w:val="0"/>
          <w:sz w:val="32"/>
          <w:szCs w:val="32"/>
        </w:rPr>
        <w:t>年</w:t>
      </w:r>
      <w:r>
        <w:rPr>
          <w:rFonts w:ascii="仿宋_GB2312" w:hAnsi="仿宋" w:eastAsia="仿宋_GB2312"/>
          <w:b w:val="0"/>
          <w:bCs w:val="0"/>
          <w:sz w:val="32"/>
          <w:szCs w:val="32"/>
        </w:rPr>
        <w:t>国民经济和社会发展计划安排的总体思路是：</w:t>
      </w:r>
      <w:r>
        <w:rPr>
          <w:rFonts w:hint="eastAsia" w:ascii="仿宋_GB2312" w:hAnsi="仿宋" w:eastAsia="仿宋_GB2312"/>
          <w:b w:val="0"/>
          <w:bCs w:val="0"/>
          <w:sz w:val="32"/>
          <w:szCs w:val="32"/>
        </w:rPr>
        <w:t>坚持以习近平新时代中国特色社会主义思想为指导，全面贯彻落实党的二十大和</w:t>
      </w:r>
      <w:r>
        <w:rPr>
          <w:rFonts w:hint="eastAsia" w:ascii="仿宋_GB2312" w:hAnsi="仿宋" w:eastAsia="仿宋_GB2312"/>
          <w:b w:val="0"/>
          <w:bCs w:val="0"/>
          <w:sz w:val="32"/>
          <w:szCs w:val="32"/>
          <w:lang w:eastAsia="zh-CN"/>
        </w:rPr>
        <w:t>中央经济工作会议精神，深入贯彻</w:t>
      </w:r>
      <w:r>
        <w:rPr>
          <w:rFonts w:hint="eastAsia" w:ascii="仿宋_GB2312" w:hAnsi="仿宋" w:eastAsia="仿宋_GB2312"/>
          <w:b w:val="0"/>
          <w:bCs w:val="0"/>
          <w:sz w:val="32"/>
          <w:szCs w:val="32"/>
        </w:rPr>
        <w:t>习近平总书记对北京重要讲话精神</w:t>
      </w:r>
      <w:r>
        <w:rPr>
          <w:rFonts w:hint="eastAsia" w:ascii="仿宋_GB2312" w:hAnsi="仿宋" w:eastAsia="仿宋_GB2312"/>
          <w:b w:val="0"/>
          <w:bCs w:val="0"/>
          <w:sz w:val="32"/>
          <w:szCs w:val="32"/>
          <w:lang w:eastAsia="zh-CN"/>
        </w:rPr>
        <w:t>，按照市第十三次党代会、市委十三届二次全会和区十三次党代会部署，扎实推进中国式现代化，</w:t>
      </w:r>
      <w:r>
        <w:rPr>
          <w:rFonts w:hint="eastAsia" w:ascii="仿宋_GB2312" w:hAnsi="仿宋" w:eastAsia="仿宋_GB2312"/>
          <w:b w:val="0"/>
          <w:bCs w:val="0"/>
          <w:sz w:val="32"/>
          <w:szCs w:val="32"/>
        </w:rPr>
        <w:t>坚持稳中求进工作总基调，完整、准确、全面贯彻新发展理念，加快构建新发展格局，更好统筹疫情防控和经济社会发展，更好统筹发展和安全，</w:t>
      </w:r>
      <w:r>
        <w:rPr>
          <w:rFonts w:hint="eastAsia" w:ascii="仿宋_GB2312" w:hAnsi="仿宋" w:eastAsia="仿宋_GB2312"/>
          <w:b w:val="0"/>
          <w:bCs w:val="0"/>
          <w:sz w:val="32"/>
          <w:szCs w:val="32"/>
          <w:lang w:eastAsia="zh-CN"/>
        </w:rPr>
        <w:t>全面深化改革开放，大力提振市场信心，</w:t>
      </w:r>
      <w:r>
        <w:rPr>
          <w:rFonts w:hint="eastAsia" w:ascii="仿宋_GB2312" w:hAnsi="仿宋" w:eastAsia="仿宋_GB2312"/>
          <w:b w:val="0"/>
          <w:bCs w:val="0"/>
          <w:sz w:val="32"/>
          <w:szCs w:val="32"/>
        </w:rPr>
        <w:t>牢记海淀服务国家和首都发展大局职责使命，</w:t>
      </w:r>
      <w:r>
        <w:rPr>
          <w:rFonts w:hint="eastAsia" w:ascii="仿宋_GB2312" w:hAnsi="仿宋" w:eastAsia="仿宋_GB2312"/>
          <w:b w:val="0"/>
          <w:bCs w:val="0"/>
          <w:sz w:val="32"/>
          <w:szCs w:val="32"/>
          <w:lang w:eastAsia="zh-CN"/>
        </w:rPr>
        <w:t>着力推动高质量发展，着力保障和改善民生，有效防范化解重大风险，</w:t>
      </w:r>
      <w:r>
        <w:rPr>
          <w:rFonts w:hint="eastAsia" w:ascii="仿宋_GB2312" w:hAnsi="仿宋" w:eastAsia="仿宋_GB2312"/>
          <w:b w:val="0"/>
          <w:bCs w:val="0"/>
          <w:sz w:val="32"/>
          <w:szCs w:val="32"/>
        </w:rPr>
        <w:t>为推动新时代首都发展作出更大贡献。</w:t>
      </w:r>
    </w:p>
    <w:p w14:paraId="5BD24E90">
      <w:pPr>
        <w:adjustRightInd w:val="0"/>
        <w:snapToGrid w:val="0"/>
        <w:spacing w:line="560" w:lineRule="exact"/>
        <w:ind w:firstLine="640" w:firstLineChars="200"/>
        <w:rPr>
          <w:rFonts w:ascii="仿宋_GB2312" w:hAnsi="仿宋" w:eastAsia="仿宋_GB2312"/>
          <w:b w:val="0"/>
          <w:bCs w:val="0"/>
          <w:sz w:val="32"/>
          <w:szCs w:val="32"/>
        </w:rPr>
      </w:pPr>
      <w:r>
        <w:rPr>
          <w:rFonts w:ascii="仿宋_GB2312" w:hAnsi="仿宋" w:eastAsia="仿宋_GB2312"/>
          <w:b w:val="0"/>
          <w:bCs w:val="0"/>
          <w:sz w:val="32"/>
          <w:szCs w:val="32"/>
        </w:rPr>
        <w:t>充分考虑当前经济</w:t>
      </w:r>
      <w:r>
        <w:rPr>
          <w:rFonts w:hint="eastAsia" w:ascii="仿宋_GB2312" w:hAnsi="仿宋" w:eastAsia="仿宋_GB2312"/>
          <w:b w:val="0"/>
          <w:bCs w:val="0"/>
          <w:sz w:val="32"/>
          <w:szCs w:val="32"/>
        </w:rPr>
        <w:t>社会</w:t>
      </w:r>
      <w:r>
        <w:rPr>
          <w:rFonts w:ascii="仿宋_GB2312" w:hAnsi="仿宋" w:eastAsia="仿宋_GB2312"/>
          <w:b w:val="0"/>
          <w:bCs w:val="0"/>
          <w:sz w:val="32"/>
          <w:szCs w:val="32"/>
        </w:rPr>
        <w:t>发展形势</w:t>
      </w:r>
      <w:r>
        <w:rPr>
          <w:rFonts w:hint="eastAsia" w:ascii="仿宋_GB2312" w:hAnsi="仿宋" w:eastAsia="仿宋_GB2312"/>
          <w:b w:val="0"/>
          <w:bCs w:val="0"/>
          <w:sz w:val="32"/>
          <w:szCs w:val="32"/>
        </w:rPr>
        <w:t>以及“十四五”规划的目标要求，</w:t>
      </w:r>
      <w:r>
        <w:rPr>
          <w:rFonts w:hint="eastAsia" w:ascii="仿宋_GB2312" w:hAnsi="仿宋" w:eastAsia="仿宋_GB2312"/>
          <w:b w:val="0"/>
          <w:bCs w:val="0"/>
          <w:sz w:val="32"/>
          <w:szCs w:val="32"/>
          <w:lang w:eastAsia="zh-CN"/>
        </w:rPr>
        <w:t>为</w:t>
      </w:r>
      <w:r>
        <w:rPr>
          <w:rFonts w:hint="eastAsia" w:ascii="仿宋_GB2312" w:hAnsi="仿宋" w:eastAsia="仿宋_GB2312"/>
          <w:b w:val="0"/>
          <w:bCs w:val="0"/>
          <w:sz w:val="32"/>
          <w:szCs w:val="32"/>
        </w:rPr>
        <w:t>继续发挥好区域在</w:t>
      </w:r>
      <w:r>
        <w:rPr>
          <w:rFonts w:hint="eastAsia" w:ascii="仿宋_GB2312" w:hAnsi="仿宋" w:eastAsia="仿宋_GB2312"/>
          <w:b w:val="0"/>
          <w:bCs w:val="0"/>
          <w:sz w:val="32"/>
          <w:szCs w:val="32"/>
          <w:lang w:eastAsia="zh-CN"/>
        </w:rPr>
        <w:t>首都</w:t>
      </w:r>
      <w:r>
        <w:rPr>
          <w:rFonts w:hint="eastAsia" w:ascii="仿宋_GB2312" w:hAnsi="仿宋" w:eastAsia="仿宋_GB2312"/>
          <w:b w:val="0"/>
          <w:bCs w:val="0"/>
          <w:sz w:val="32"/>
          <w:szCs w:val="32"/>
        </w:rPr>
        <w:t>创新发展、高质量发展中的示范引领和主力支撑作用，持续提升民生保障水平，</w:t>
      </w:r>
      <w:r>
        <w:rPr>
          <w:rFonts w:ascii="仿宋_GB2312" w:hAnsi="仿宋" w:eastAsia="仿宋_GB2312"/>
          <w:b w:val="0"/>
          <w:bCs w:val="0"/>
          <w:sz w:val="32"/>
          <w:szCs w:val="32"/>
        </w:rPr>
        <w:t>2023年主要经济社会指标计划安排如下</w:t>
      </w:r>
      <w:r>
        <w:rPr>
          <w:rFonts w:hint="eastAsia" w:ascii="仿宋_GB2312" w:hAnsi="仿宋" w:eastAsia="仿宋_GB2312"/>
          <w:b w:val="0"/>
          <w:bCs w:val="0"/>
          <w:sz w:val="32"/>
          <w:szCs w:val="32"/>
          <w:lang w:eastAsia="zh-CN"/>
        </w:rPr>
        <w:t>，工作中努力争取更好结果</w:t>
      </w:r>
      <w:r>
        <w:rPr>
          <w:rFonts w:ascii="仿宋_GB2312" w:hAnsi="仿宋" w:eastAsia="仿宋_GB2312"/>
          <w:b w:val="0"/>
          <w:bCs w:val="0"/>
          <w:sz w:val="32"/>
          <w:szCs w:val="32"/>
        </w:rPr>
        <w:t>：</w:t>
      </w:r>
    </w:p>
    <w:p w14:paraId="3BADC7CE">
      <w:pPr>
        <w:adjustRightInd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经济发展方面：地区生产总值增长6</w:t>
      </w:r>
      <w:r>
        <w:rPr>
          <w:rFonts w:ascii="仿宋_GB2312" w:eastAsia="仿宋_GB2312"/>
          <w:b w:val="0"/>
          <w:bCs w:val="0"/>
          <w:sz w:val="32"/>
          <w:szCs w:val="32"/>
        </w:rPr>
        <w:t>%</w:t>
      </w:r>
      <w:r>
        <w:rPr>
          <w:rFonts w:hint="eastAsia" w:ascii="仿宋_GB2312" w:eastAsia="仿宋_GB2312"/>
          <w:b w:val="0"/>
          <w:bCs w:val="0"/>
          <w:sz w:val="32"/>
          <w:szCs w:val="32"/>
        </w:rPr>
        <w:t>；</w:t>
      </w:r>
      <w:r>
        <w:rPr>
          <w:rFonts w:ascii="仿宋_GB2312" w:eastAsia="仿宋_GB2312"/>
          <w:b w:val="0"/>
          <w:bCs w:val="0"/>
          <w:sz w:val="32"/>
          <w:szCs w:val="32"/>
        </w:rPr>
        <w:t>区级一般公共预算收入增长</w:t>
      </w:r>
      <w:r>
        <w:rPr>
          <w:rFonts w:hint="eastAsia" w:ascii="仿宋_GB2312" w:eastAsia="仿宋_GB2312"/>
          <w:b w:val="0"/>
          <w:bCs w:val="0"/>
          <w:sz w:val="32"/>
          <w:szCs w:val="32"/>
        </w:rPr>
        <w:t>4</w:t>
      </w:r>
      <w:r>
        <w:rPr>
          <w:rFonts w:ascii="仿宋_GB2312" w:eastAsia="仿宋_GB2312"/>
          <w:b w:val="0"/>
          <w:bCs w:val="0"/>
          <w:sz w:val="32"/>
          <w:szCs w:val="32"/>
        </w:rPr>
        <w:t>%</w:t>
      </w:r>
      <w:r>
        <w:rPr>
          <w:rFonts w:hint="eastAsia" w:ascii="仿宋_GB2312" w:eastAsia="仿宋_GB2312"/>
          <w:b w:val="0"/>
          <w:bCs w:val="0"/>
          <w:sz w:val="32"/>
          <w:szCs w:val="32"/>
        </w:rPr>
        <w:t>；规模以上</w:t>
      </w:r>
      <w:r>
        <w:rPr>
          <w:rFonts w:ascii="仿宋_GB2312" w:eastAsia="仿宋_GB2312"/>
          <w:b w:val="0"/>
          <w:bCs w:val="0"/>
          <w:sz w:val="32"/>
          <w:szCs w:val="32"/>
        </w:rPr>
        <w:t>高新技术企业总收入增长</w:t>
      </w:r>
      <w:r>
        <w:rPr>
          <w:rFonts w:hint="eastAsia" w:ascii="仿宋_GB2312" w:eastAsia="仿宋_GB2312"/>
          <w:b w:val="0"/>
          <w:bCs w:val="0"/>
          <w:sz w:val="32"/>
          <w:szCs w:val="32"/>
        </w:rPr>
        <w:t>8%；劳动生产率达到36万元/人左右；数字经济增加值增速达8%左右</w:t>
      </w:r>
      <w:r>
        <w:rPr>
          <w:rFonts w:ascii="仿宋_GB2312" w:eastAsia="仿宋_GB2312"/>
          <w:b w:val="0"/>
          <w:bCs w:val="0"/>
          <w:sz w:val="32"/>
          <w:szCs w:val="32"/>
        </w:rPr>
        <w:t>。</w:t>
      </w:r>
    </w:p>
    <w:p w14:paraId="2538771D">
      <w:pPr>
        <w:adjustRightInd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科技创新方面：全社会研究与实验发展经费支出占地区生产总值比重10.5%左右；园区企业研发投入强度达6%以上；技术合同成交额增长6%；PCT专利申请量达5000件左右。</w:t>
      </w:r>
    </w:p>
    <w:p w14:paraId="43555DFD">
      <w:pPr>
        <w:adjustRightInd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民生保障方面：居民人均可支配收入稳步增长；城镇登记失业率</w:t>
      </w:r>
      <w:r>
        <w:rPr>
          <w:rFonts w:hint="eastAsia" w:ascii="仿宋_GB2312" w:eastAsia="仿宋_GB2312"/>
          <w:b w:val="0"/>
          <w:bCs w:val="0"/>
          <w:sz w:val="32"/>
          <w:szCs w:val="32"/>
          <w:lang w:eastAsia="zh-CN"/>
        </w:rPr>
        <w:t>控制在</w:t>
      </w:r>
      <w:r>
        <w:rPr>
          <w:rFonts w:hint="eastAsia" w:ascii="仿宋_GB2312" w:eastAsia="仿宋_GB2312"/>
          <w:b w:val="0"/>
          <w:bCs w:val="0"/>
          <w:sz w:val="32"/>
          <w:szCs w:val="32"/>
          <w:lang w:val="en-US" w:eastAsia="zh-CN"/>
        </w:rPr>
        <w:t>3%以内</w:t>
      </w:r>
      <w:r>
        <w:rPr>
          <w:rFonts w:hint="eastAsia" w:ascii="仿宋_GB2312" w:eastAsia="仿宋_GB2312"/>
          <w:b w:val="0"/>
          <w:bCs w:val="0"/>
          <w:sz w:val="32"/>
          <w:szCs w:val="32"/>
        </w:rPr>
        <w:t>；每千人常住人口执业（助理）医师数达5人以上；每千名常住人口养老床位数达5.5张；食品、药品安全监测抽检合格率分别达到98.5</w:t>
      </w:r>
      <w:r>
        <w:rPr>
          <w:rFonts w:ascii="仿宋_GB2312" w:eastAsia="仿宋_GB2312"/>
          <w:b w:val="0"/>
          <w:bCs w:val="0"/>
          <w:sz w:val="32"/>
          <w:szCs w:val="32"/>
        </w:rPr>
        <w:t>%、99%以上。</w:t>
      </w:r>
    </w:p>
    <w:p w14:paraId="5A20385A">
      <w:pPr>
        <w:pStyle w:val="2"/>
        <w:adjustRightInd w:val="0"/>
        <w:snapToGrid w:val="0"/>
        <w:spacing w:line="560" w:lineRule="exact"/>
        <w:ind w:firstLine="640" w:firstLineChars="200"/>
        <w:rPr>
          <w:rFonts w:ascii="楷体_GB2312" w:eastAsia="楷体_GB2312"/>
          <w:b w:val="0"/>
          <w:bCs w:val="0"/>
          <w:vanish w:val="0"/>
          <w:spacing w:val="0"/>
          <w:w w:val="100"/>
          <w:sz w:val="32"/>
          <w:szCs w:val="32"/>
          <w:u w:val="none"/>
        </w:rPr>
      </w:pPr>
      <w:r>
        <w:rPr>
          <w:rFonts w:hint="eastAsia" w:ascii="楷体_GB2312" w:eastAsia="楷体_GB2312"/>
          <w:b w:val="0"/>
          <w:bCs w:val="0"/>
          <w:vanish w:val="0"/>
          <w:spacing w:val="0"/>
          <w:w w:val="100"/>
          <w:sz w:val="32"/>
          <w:szCs w:val="32"/>
          <w:u w:val="none"/>
        </w:rPr>
        <w:t>（一）</w:t>
      </w:r>
      <w:r>
        <w:rPr>
          <w:rFonts w:hint="eastAsia" w:ascii="楷体_GB2312" w:eastAsia="楷体_GB2312"/>
          <w:b w:val="0"/>
          <w:bCs w:val="0"/>
          <w:vanish w:val="0"/>
          <w:spacing w:val="-6"/>
          <w:w w:val="100"/>
          <w:sz w:val="32"/>
          <w:szCs w:val="32"/>
          <w:u w:val="none"/>
        </w:rPr>
        <w:t>着力提升核心竞争力</w:t>
      </w:r>
      <w:r>
        <w:rPr>
          <w:rFonts w:hint="eastAsia" w:ascii="楷体_GB2312" w:hAnsi="仿宋" w:eastAsia="楷体_GB2312" w:cs="仿宋"/>
          <w:b w:val="0"/>
          <w:bCs w:val="0"/>
          <w:vanish w:val="0"/>
          <w:spacing w:val="-6"/>
          <w:w w:val="100"/>
          <w:sz w:val="32"/>
          <w:szCs w:val="32"/>
          <w:u w:val="none"/>
        </w:rPr>
        <w:t>，努力建设高能级创新引领型城区</w:t>
      </w:r>
    </w:p>
    <w:p w14:paraId="33CF57F4">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 w:eastAsia="仿宋_GB2312"/>
          <w:b w:val="0"/>
          <w:bCs w:val="0"/>
          <w:sz w:val="32"/>
          <w:szCs w:val="32"/>
        </w:rPr>
        <w:t>全面强化创新策源功能</w:t>
      </w:r>
      <w:r>
        <w:rPr>
          <w:rFonts w:hint="eastAsia" w:ascii="仿宋_GB2312" w:eastAsia="仿宋_GB2312"/>
          <w:b w:val="0"/>
          <w:bCs w:val="0"/>
          <w:sz w:val="32"/>
          <w:szCs w:val="32"/>
        </w:rPr>
        <w:t>。</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1）服务</w:t>
      </w:r>
      <w:r>
        <w:rPr>
          <w:rFonts w:hint="eastAsia" w:ascii="仿宋_GB2312" w:eastAsia="仿宋_GB2312"/>
          <w:b w:val="0"/>
          <w:bCs w:val="0"/>
          <w:sz w:val="32"/>
          <w:szCs w:val="32"/>
        </w:rPr>
        <w:t>保障国家实验室建设，</w:t>
      </w:r>
      <w:r>
        <w:rPr>
          <w:rFonts w:hint="eastAsia" w:ascii="仿宋_GB2312" w:hAnsi="黑体" w:eastAsia="仿宋_GB2312"/>
          <w:b w:val="0"/>
          <w:bCs w:val="0"/>
          <w:sz w:val="32"/>
          <w:szCs w:val="32"/>
        </w:rPr>
        <w:t>支持驻区高校院所、新型研发机构、领军企业深度参与国家实验室在研、预研科研项目，</w:t>
      </w:r>
      <w:r>
        <w:rPr>
          <w:rFonts w:hint="eastAsia" w:ascii="仿宋_GB2312" w:hAnsi="仿宋_GB2312" w:eastAsia="仿宋_GB2312" w:cs="仿宋_GB2312"/>
          <w:b w:val="0"/>
          <w:bCs w:val="0"/>
          <w:sz w:val="32"/>
          <w:szCs w:val="32"/>
        </w:rPr>
        <w:t>加快形成产业化能力。（2）</w:t>
      </w:r>
      <w:r>
        <w:rPr>
          <w:rFonts w:hint="eastAsia" w:ascii="仿宋_GB2312" w:hAnsi="黑体" w:eastAsia="仿宋_GB2312"/>
          <w:b w:val="0"/>
          <w:bCs w:val="0"/>
          <w:sz w:val="32"/>
          <w:szCs w:val="32"/>
        </w:rPr>
        <w:t>推动建设世界一流科研机构，加快量子信息、颠覆性材料、开源芯片等关键核心技术攻关突破，提升沿途成果转化能力</w:t>
      </w:r>
      <w:r>
        <w:rPr>
          <w:rFonts w:hint="eastAsia" w:ascii="仿宋_GB2312" w:hAnsi="仿宋_GB2312" w:eastAsia="仿宋_GB2312" w:cs="仿宋_GB2312"/>
          <w:b w:val="0"/>
          <w:bCs w:val="0"/>
          <w:sz w:val="32"/>
          <w:szCs w:val="32"/>
        </w:rPr>
        <w:t>。支持京津冀国家技术创新中心落地一批前沿重大项目。推进概念验证中心建设。（3）</w:t>
      </w:r>
      <w:r>
        <w:rPr>
          <w:rFonts w:hint="eastAsia" w:ascii="仿宋_GB2312" w:hAnsi="黑体" w:eastAsia="仿宋_GB2312"/>
          <w:b w:val="0"/>
          <w:bCs w:val="0"/>
          <w:sz w:val="32"/>
          <w:szCs w:val="32"/>
        </w:rPr>
        <w:t>支持高校院所、企业共建特色研究院、实验室，支持高校探索前孵化创新、概念验证等新模式新平台，提升成果转化能力。（</w:t>
      </w:r>
      <w:r>
        <w:rPr>
          <w:rFonts w:hint="eastAsia" w:ascii="仿宋_GB2312" w:hAnsi="仿宋_GB2312" w:eastAsia="仿宋_GB2312" w:cs="仿宋_GB2312"/>
          <w:b w:val="0"/>
          <w:bCs w:val="0"/>
          <w:sz w:val="32"/>
          <w:szCs w:val="32"/>
        </w:rPr>
        <w:t>4）推行“揭榜挂帅”“赛马制”等机制，支持多元创新主体开展通用底层技术布局和关键核心技术攻关。</w:t>
      </w:r>
      <w:r>
        <w:rPr>
          <w:rFonts w:hint="eastAsia" w:ascii="仿宋_GB2312" w:eastAsia="仿宋_GB2312"/>
          <w:b w:val="0"/>
          <w:bCs w:val="0"/>
          <w:sz w:val="32"/>
          <w:szCs w:val="32"/>
        </w:rPr>
        <w:t>（5</w:t>
      </w:r>
      <w:r>
        <w:rPr>
          <w:rFonts w:ascii="仿宋_GB2312" w:eastAsia="仿宋_GB2312"/>
          <w:b w:val="0"/>
          <w:bCs w:val="0"/>
          <w:sz w:val="32"/>
          <w:szCs w:val="32"/>
        </w:rPr>
        <w:t>）</w:t>
      </w:r>
      <w:r>
        <w:rPr>
          <w:rFonts w:hint="eastAsia" w:ascii="仿宋_GB2312" w:hAnsi="仿宋_GB2312" w:eastAsia="仿宋_GB2312" w:cs="仿宋_GB2312"/>
          <w:b w:val="0"/>
          <w:bCs w:val="0"/>
          <w:sz w:val="32"/>
          <w:szCs w:val="32"/>
        </w:rPr>
        <w:t>用好自然科学基金，支持科研团队跨学科、跨部门开展前沿研究和应用基础研究，推动一批基础研究成果转化。</w:t>
      </w:r>
    </w:p>
    <w:p w14:paraId="1414CBF5">
      <w:pPr>
        <w:widowControl/>
        <w:spacing w:line="560" w:lineRule="exact"/>
        <w:ind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全面升级区域创新生态。（</w:t>
      </w: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扎实推进新一轮先行先试改革落地，项目化、清单化压茬推进各项改革措施，确保有案例、见实效、出经验。（2）</w:t>
      </w:r>
      <w:r>
        <w:rPr>
          <w:rFonts w:ascii="仿宋_GB2312" w:eastAsia="仿宋_GB2312"/>
          <w:b w:val="0"/>
          <w:bCs w:val="0"/>
          <w:sz w:val="32"/>
          <w:szCs w:val="32"/>
        </w:rPr>
        <w:t>加快</w:t>
      </w:r>
      <w:r>
        <w:rPr>
          <w:rFonts w:hint="eastAsia" w:ascii="仿宋_GB2312" w:hAnsi="Helvetica" w:eastAsia="仿宋_GB2312"/>
          <w:b w:val="0"/>
          <w:bCs w:val="0"/>
          <w:sz w:val="32"/>
          <w:szCs w:val="32"/>
          <w:shd w:val="clear" w:color="auto" w:fill="FFFFFF"/>
        </w:rPr>
        <w:t>国家级金科新区建设，</w:t>
      </w:r>
      <w:r>
        <w:rPr>
          <w:rFonts w:hint="eastAsia" w:ascii="仿宋_GB2312" w:eastAsia="仿宋_GB2312"/>
          <w:b w:val="0"/>
          <w:bCs w:val="0"/>
          <w:sz w:val="32"/>
          <w:szCs w:val="32"/>
        </w:rPr>
        <w:t>办好“一会一赛三论坛”主平台活动，以“</w:t>
      </w:r>
      <w:r>
        <w:rPr>
          <w:rFonts w:ascii="仿宋_GB2312" w:eastAsia="仿宋_GB2312"/>
          <w:b w:val="0"/>
          <w:bCs w:val="0"/>
          <w:sz w:val="32"/>
          <w:szCs w:val="32"/>
        </w:rPr>
        <w:t>10+10</w:t>
      </w:r>
      <w:r>
        <w:rPr>
          <w:rFonts w:hint="eastAsia" w:ascii="仿宋_GB2312" w:eastAsia="仿宋_GB2312"/>
          <w:b w:val="0"/>
          <w:bCs w:val="0"/>
          <w:sz w:val="32"/>
          <w:szCs w:val="32"/>
        </w:rPr>
        <w:t>”</w:t>
      </w:r>
      <w:r>
        <w:rPr>
          <w:rFonts w:ascii="仿宋_GB2312" w:eastAsia="仿宋_GB2312"/>
          <w:b w:val="0"/>
          <w:bCs w:val="0"/>
          <w:sz w:val="32"/>
          <w:szCs w:val="32"/>
        </w:rPr>
        <w:t>对接会为主体畅通科技与金融对接渠道</w:t>
      </w:r>
      <w:r>
        <w:rPr>
          <w:rFonts w:hint="eastAsia" w:ascii="仿宋_GB2312" w:eastAsia="仿宋_GB2312"/>
          <w:b w:val="0"/>
          <w:bCs w:val="0"/>
          <w:sz w:val="32"/>
          <w:szCs w:val="32"/>
        </w:rPr>
        <w:t>，</w:t>
      </w:r>
      <w:r>
        <w:rPr>
          <w:rFonts w:hint="eastAsia" w:ascii="仿宋_GB2312" w:hAnsi="宋体" w:eastAsia="仿宋_GB2312" w:cs="宋体"/>
          <w:b w:val="0"/>
          <w:bCs w:val="0"/>
          <w:kern w:val="0"/>
          <w:sz w:val="32"/>
          <w:szCs w:val="32"/>
        </w:rPr>
        <w:t>加大数字人民币场景应用创新和推广力度。推进全球创业投资中心建设，探索通过空间整理、“投资+孵化”、投贷联动等工作模式，聚集一批头部投资机构。加强科创金融服务创新，深入建设中关村科创金融服务中心等融资平台</w:t>
      </w:r>
      <w:r>
        <w:rPr>
          <w:rFonts w:hint="eastAsia" w:ascii="仿宋_GB2312" w:hAnsi="宋体" w:eastAsia="仿宋_GB2312" w:cs="宋体"/>
          <w:b w:val="0"/>
          <w:bCs w:val="0"/>
          <w:kern w:val="0"/>
          <w:sz w:val="32"/>
          <w:szCs w:val="32"/>
          <w:lang w:eastAsia="zh-CN"/>
        </w:rPr>
        <w:t>，</w:t>
      </w:r>
      <w:r>
        <w:rPr>
          <w:rFonts w:hint="eastAsia" w:ascii="仿宋_GB2312" w:hAnsi="宋体" w:eastAsia="仿宋_GB2312" w:cs="宋体"/>
          <w:b w:val="0"/>
          <w:bCs w:val="0"/>
          <w:kern w:val="0"/>
          <w:sz w:val="32"/>
          <w:szCs w:val="32"/>
        </w:rPr>
        <w:t>用好用足海淀创新基金系，加强对早期项目挖掘培育；推广投、贷、保联动等多种创新模式，</w:t>
      </w:r>
      <w:r>
        <w:rPr>
          <w:rFonts w:hint="eastAsia" w:ascii="仿宋_GB2312" w:hAnsi="Calibri" w:eastAsia="仿宋_GB2312"/>
          <w:b w:val="0"/>
          <w:bCs w:val="0"/>
          <w:sz w:val="32"/>
          <w:szCs w:val="32"/>
        </w:rPr>
        <w:t>强化早期资本、耐心资本力量。</w:t>
      </w:r>
      <w:r>
        <w:rPr>
          <w:rFonts w:hint="eastAsia" w:ascii="仿宋_GB2312" w:hAnsi="仿宋_GB2312" w:eastAsia="仿宋_GB2312" w:cs="仿宋_GB2312"/>
          <w:b w:val="0"/>
          <w:bCs w:val="0"/>
          <w:sz w:val="32"/>
          <w:szCs w:val="32"/>
        </w:rPr>
        <w:t>（3）</w:t>
      </w:r>
      <w:r>
        <w:rPr>
          <w:rFonts w:ascii="仿宋_GB2312" w:hAnsi="仿宋_GB2312" w:eastAsia="仿宋_GB2312" w:cs="仿宋_GB2312"/>
          <w:b w:val="0"/>
          <w:bCs w:val="0"/>
          <w:sz w:val="32"/>
          <w:szCs w:val="32"/>
        </w:rPr>
        <w:t>深入落实“海英计划”升级版，</w:t>
      </w:r>
      <w:r>
        <w:rPr>
          <w:rFonts w:hint="eastAsia" w:ascii="仿宋_GB2312" w:hAnsi="仿宋_GB2312" w:eastAsia="仿宋_GB2312" w:cs="仿宋_GB2312"/>
          <w:b w:val="0"/>
          <w:bCs w:val="0"/>
          <w:sz w:val="32"/>
          <w:szCs w:val="32"/>
        </w:rPr>
        <w:t>做好教育、住房、落户、医疗等配套服务，</w:t>
      </w:r>
      <w:r>
        <w:rPr>
          <w:rFonts w:hint="eastAsia" w:ascii="仿宋_GB2312" w:eastAsia="仿宋_GB2312" w:cs="仿宋_GB2312"/>
          <w:b w:val="0"/>
          <w:bCs w:val="0"/>
          <w:sz w:val="32"/>
          <w:szCs w:val="32"/>
        </w:rPr>
        <w:t>加快引进一批科技帅才、培育一批硬科技人才。</w:t>
      </w:r>
      <w:r>
        <w:rPr>
          <w:rFonts w:hint="eastAsia" w:ascii="仿宋_GB2312" w:hAnsi="仿宋" w:eastAsia="仿宋_GB2312"/>
          <w:b w:val="0"/>
          <w:bCs w:val="0"/>
          <w:sz w:val="32"/>
          <w:szCs w:val="32"/>
        </w:rPr>
        <w:t>持续推进“薪火共燃”计划，培养一批未来青年企业家。</w:t>
      </w:r>
      <w:r>
        <w:rPr>
          <w:rFonts w:hint="eastAsia" w:ascii="仿宋_GB2312" w:eastAsia="仿宋_GB2312" w:cs="仿宋_GB2312"/>
          <w:b w:val="0"/>
          <w:bCs w:val="0"/>
          <w:sz w:val="32"/>
          <w:szCs w:val="32"/>
        </w:rPr>
        <w:t>加快建设翠湖国际人才社区，打造产业园区、智能城区、休闲商区、居住社区等四位一体</w:t>
      </w:r>
      <w:r>
        <w:rPr>
          <w:rFonts w:hint="eastAsia" w:ascii="仿宋_GB2312" w:hAnsi="仿宋_GB2312" w:eastAsia="仿宋_GB2312" w:cs="仿宋_GB2312"/>
          <w:b w:val="0"/>
          <w:bCs w:val="0"/>
          <w:sz w:val="32"/>
          <w:szCs w:val="32"/>
        </w:rPr>
        <w:t>的人才集聚空间。（4</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全面推进知识产权强市示范城市建设，持续强化知识产权保护和运用，促进知识产权高质量发展。</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5）研究出台产业园区提升运营服务能力奖励专项政策，加快构建“物理空间租赁+产业投资孵化+创新产业服务”的园区专业化服务模式。（6）落实“三级”服务包制度，实现对专精特新企业、独角兽服务全覆盖，加大对胚芽企业、潜在独角兽企业、上市企业的服务力度。做大做强科技成长基金，充分发挥对领军企业、高成长企业和前沿企业梯度扶持作用。（7）巩固全国“网络市场监管与服务示范区”创建成果；依托创建全国商业秘密保护创新试点，增强为高新技术企业保驾护航能力。</w:t>
      </w:r>
    </w:p>
    <w:p w14:paraId="464A4DA7">
      <w:pPr>
        <w:spacing w:line="560" w:lineRule="exact"/>
        <w:ind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加快建设现代化产业体系。（</w:t>
      </w:r>
      <w:r>
        <w:rPr>
          <w:rFonts w:ascii="仿宋_GB2312" w:hAnsi="仿宋_GB2312" w:eastAsia="仿宋_GB2312" w:cs="仿宋_GB2312"/>
          <w:b w:val="0"/>
          <w:bCs w:val="0"/>
          <w:sz w:val="32"/>
          <w:szCs w:val="32"/>
        </w:rPr>
        <w:t>1）打造大信息技术产业集群。推进超大规模人工智能模型训练平台、区块链算力平台等新型基础设施建设</w:t>
      </w:r>
      <w:r>
        <w:rPr>
          <w:rFonts w:hint="eastAsia" w:ascii="仿宋_GB2312" w:hAnsi="仿宋_GB2312" w:eastAsia="仿宋_GB2312" w:cs="仿宋_GB2312"/>
          <w:b w:val="0"/>
          <w:bCs w:val="0"/>
          <w:sz w:val="32"/>
          <w:szCs w:val="32"/>
        </w:rPr>
        <w:t>。聚焦集成电路“卡脖子”环节，</w:t>
      </w:r>
      <w:r>
        <w:rPr>
          <w:rFonts w:ascii="仿宋_GB2312" w:hAnsi="仿宋_GB2312" w:eastAsia="仿宋_GB2312" w:cs="仿宋_GB2312"/>
          <w:b w:val="0"/>
          <w:bCs w:val="0"/>
          <w:sz w:val="32"/>
          <w:szCs w:val="32"/>
        </w:rPr>
        <w:t>推动GPU、车用MCU等产业布局</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支持推动RISC-V生态建设。（2</w:t>
      </w:r>
      <w:r>
        <w:rPr>
          <w:rFonts w:hint="eastAsia" w:ascii="仿宋_GB2312" w:hAnsi="仿宋_GB2312" w:eastAsia="仿宋_GB2312" w:cs="仿宋_GB2312"/>
          <w:b w:val="0"/>
          <w:bCs w:val="0"/>
          <w:sz w:val="32"/>
          <w:szCs w:val="32"/>
        </w:rPr>
        <w:t>）</w:t>
      </w:r>
      <w:r>
        <w:rPr>
          <w:rFonts w:hint="eastAsia" w:ascii="仿宋_GB2312" w:hAnsi="仿宋" w:eastAsia="仿宋_GB2312" w:cs="Arial"/>
          <w:b w:val="0"/>
          <w:bCs w:val="0"/>
          <w:sz w:val="32"/>
          <w:szCs w:val="32"/>
        </w:rPr>
        <w:t>抢抓大健康产业爆发契机</w:t>
      </w:r>
      <w:r>
        <w:rPr>
          <w:rFonts w:hint="eastAsia" w:ascii="仿宋_GB2312" w:hAnsi="仿宋_GB2312" w:eastAsia="仿宋_GB2312" w:cs="仿宋_GB2312"/>
          <w:b w:val="0"/>
          <w:bCs w:val="0"/>
          <w:sz w:val="32"/>
          <w:szCs w:val="32"/>
        </w:rPr>
        <w:t>，重点布局创新药、高端医疗器械和</w:t>
      </w:r>
      <w:r>
        <w:rPr>
          <w:rFonts w:ascii="仿宋_GB2312" w:hAnsi="仿宋_GB2312" w:eastAsia="仿宋_GB2312" w:cs="仿宋_GB2312"/>
          <w:b w:val="0"/>
          <w:bCs w:val="0"/>
          <w:sz w:val="32"/>
          <w:szCs w:val="32"/>
        </w:rPr>
        <w:t>AI+</w:t>
      </w:r>
      <w:r>
        <w:rPr>
          <w:rFonts w:hint="eastAsia" w:ascii="仿宋_GB2312" w:hAnsi="仿宋_GB2312" w:eastAsia="仿宋_GB2312" w:cs="仿宋_GB2312"/>
          <w:b w:val="0"/>
          <w:bCs w:val="0"/>
          <w:sz w:val="32"/>
          <w:szCs w:val="32"/>
        </w:rPr>
        <w:t>医疗等</w:t>
      </w:r>
      <w:r>
        <w:rPr>
          <w:rFonts w:ascii="仿宋_GB2312" w:hAnsi="仿宋_GB2312" w:eastAsia="仿宋_GB2312" w:cs="仿宋_GB2312"/>
          <w:b w:val="0"/>
          <w:bCs w:val="0"/>
          <w:sz w:val="32"/>
          <w:szCs w:val="32"/>
        </w:rPr>
        <w:t>三大方向，持续推动医疗机器人CDMO</w:t>
      </w:r>
      <w:r>
        <w:rPr>
          <w:rFonts w:hint="eastAsia" w:ascii="仿宋_GB2312" w:hAnsi="仿宋_GB2312" w:eastAsia="仿宋_GB2312" w:cs="仿宋_GB2312"/>
          <w:b w:val="0"/>
          <w:bCs w:val="0"/>
          <w:sz w:val="32"/>
          <w:szCs w:val="32"/>
        </w:rPr>
        <w:t>平台、蛋白质工程设计平台</w:t>
      </w:r>
      <w:r>
        <w:rPr>
          <w:rFonts w:ascii="仿宋_GB2312" w:hAnsi="仿宋_GB2312" w:eastAsia="仿宋_GB2312" w:cs="仿宋_GB2312"/>
          <w:b w:val="0"/>
          <w:bCs w:val="0"/>
          <w:sz w:val="32"/>
          <w:szCs w:val="32"/>
        </w:rPr>
        <w:t>等产业创新平台建设。</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3）</w:t>
      </w:r>
      <w:r>
        <w:rPr>
          <w:rFonts w:hint="eastAsia" w:ascii="仿宋_GB2312" w:eastAsia="仿宋_GB2312"/>
          <w:b w:val="0"/>
          <w:bCs w:val="0"/>
          <w:sz w:val="32"/>
          <w:szCs w:val="32"/>
        </w:rPr>
        <w:t>做强做大</w:t>
      </w:r>
      <w:r>
        <w:rPr>
          <w:rFonts w:hint="eastAsia" w:ascii="仿宋_GB2312" w:hAnsi="仿宋_GB2312" w:eastAsia="仿宋_GB2312" w:cs="仿宋_GB2312"/>
          <w:b w:val="0"/>
          <w:bCs w:val="0"/>
          <w:sz w:val="32"/>
          <w:szCs w:val="32"/>
        </w:rPr>
        <w:t>潜力产业，加强与航天领域驻区中央单位对接，谋划落地一批空天产业新增项目和转移转化项目；加快国际氢能中心建设，支持开展氢燃料电池汽车示范应用；推动超高清协同中心开展超高清视频网络化集群制作支撑平台建设。（</w:t>
      </w:r>
      <w:r>
        <w:rPr>
          <w:rFonts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前瞻布局</w:t>
      </w:r>
      <w:r>
        <w:rPr>
          <w:rFonts w:hint="eastAsia" w:ascii="仿宋_GB2312" w:hAnsi="仿宋_GB2312" w:eastAsia="仿宋_GB2312" w:cs="仿宋_GB2312"/>
          <w:b w:val="0"/>
          <w:bCs w:val="0"/>
          <w:sz w:val="32"/>
          <w:szCs w:val="32"/>
        </w:rPr>
        <w:t>量子信息、元宇宙、脑科学与脑机接口等</w:t>
      </w:r>
      <w:r>
        <w:rPr>
          <w:rFonts w:ascii="仿宋_GB2312" w:hAnsi="仿宋_GB2312" w:eastAsia="仿宋_GB2312" w:cs="仿宋_GB2312"/>
          <w:b w:val="0"/>
          <w:bCs w:val="0"/>
          <w:sz w:val="32"/>
          <w:szCs w:val="32"/>
        </w:rPr>
        <w:t>未来产业</w:t>
      </w:r>
      <w:r>
        <w:rPr>
          <w:rFonts w:hint="eastAsia" w:ascii="仿宋_GB2312" w:hAnsi="仿宋_GB2312" w:eastAsia="仿宋_GB2312" w:cs="仿宋_GB2312"/>
          <w:b w:val="0"/>
          <w:bCs w:val="0"/>
          <w:sz w:val="32"/>
          <w:szCs w:val="32"/>
        </w:rPr>
        <w:t>。</w:t>
      </w:r>
    </w:p>
    <w:p w14:paraId="2D4F5363">
      <w:pPr>
        <w:spacing w:line="560" w:lineRule="exact"/>
        <w:ind w:firstLine="640" w:firstLineChars="200"/>
        <w:rPr>
          <w:rFonts w:ascii="楷体_GB2312" w:hAnsi="仿宋" w:eastAsia="楷体_GB2312" w:cs="仿宋"/>
          <w:b w:val="0"/>
          <w:bCs w:val="0"/>
          <w:spacing w:val="2"/>
          <w:sz w:val="32"/>
          <w:szCs w:val="32"/>
        </w:rPr>
      </w:pPr>
      <w:r>
        <w:rPr>
          <w:rFonts w:hint="eastAsia" w:ascii="楷体_GB2312" w:hAnsi="仿宋" w:eastAsia="楷体_GB2312" w:cs="仿宋"/>
          <w:b w:val="0"/>
          <w:bCs w:val="0"/>
          <w:sz w:val="32"/>
          <w:szCs w:val="32"/>
        </w:rPr>
        <w:t>（二）坚持稳增长促发展，努力建设高质量发展典范城区</w:t>
      </w:r>
    </w:p>
    <w:p w14:paraId="66F753DF">
      <w:pPr>
        <w:adjustRightInd w:val="0"/>
        <w:snapToGrid w:val="0"/>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精准发力扩大有效投资。（</w:t>
      </w: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积极推动中国电建科技创新产业园、永丰数字先导科技中心等19个项目纳入“3个100”市重点工程；适度超前安排一批基础设施项目，集中推动一批重点项目取得实质性进展。</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2</w:t>
      </w:r>
      <w:r>
        <w:rPr>
          <w:rFonts w:ascii="仿宋_GB2312" w:hAnsi="仿宋_GB2312" w:eastAsia="仿宋_GB2312" w:cs="仿宋_GB2312"/>
          <w:b w:val="0"/>
          <w:bCs w:val="0"/>
          <w:sz w:val="32"/>
          <w:szCs w:val="32"/>
        </w:rPr>
        <w:t>）抓实投资要素保障。</w:t>
      </w:r>
      <w:r>
        <w:rPr>
          <w:rFonts w:hint="eastAsia" w:ascii="仿宋_GB2312" w:hAnsi="仿宋_GB2312" w:eastAsia="仿宋_GB2312" w:cs="仿宋_GB2312"/>
          <w:b w:val="0"/>
          <w:bCs w:val="0"/>
          <w:sz w:val="32"/>
          <w:szCs w:val="32"/>
        </w:rPr>
        <w:t>“一地一策”做好集中供地，</w:t>
      </w:r>
      <w:r>
        <w:rPr>
          <w:rFonts w:ascii="仿宋_GB2312" w:hAnsi="仿宋_GB2312" w:eastAsia="仿宋_GB2312" w:cs="仿宋_GB2312"/>
          <w:b w:val="0"/>
          <w:bCs w:val="0"/>
          <w:sz w:val="32"/>
          <w:szCs w:val="32"/>
        </w:rPr>
        <w:t>力争完成清河站北-安宁庄综合开发项目</w:t>
      </w:r>
      <w:r>
        <w:rPr>
          <w:rFonts w:hint="eastAsia" w:ascii="仿宋_GB2312" w:hAnsi="仿宋_GB2312" w:eastAsia="仿宋_GB2312" w:cs="仿宋_GB2312"/>
          <w:b w:val="0"/>
          <w:bCs w:val="0"/>
          <w:sz w:val="32"/>
          <w:szCs w:val="32"/>
        </w:rPr>
        <w:t>、学院路北端（A、B、C、J）地块</w:t>
      </w:r>
      <w:r>
        <w:rPr>
          <w:rFonts w:ascii="仿宋_GB2312" w:hAnsi="仿宋_GB2312" w:eastAsia="仿宋_GB2312" w:cs="仿宋_GB2312"/>
          <w:b w:val="0"/>
          <w:bCs w:val="0"/>
          <w:sz w:val="32"/>
          <w:szCs w:val="32"/>
        </w:rPr>
        <w:t>等</w:t>
      </w:r>
      <w:r>
        <w:rPr>
          <w:rFonts w:ascii="仿宋_GB2312" w:hAnsi="仿宋" w:eastAsia="仿宋_GB2312"/>
          <w:b w:val="0"/>
          <w:bCs w:val="0"/>
          <w:sz w:val="32"/>
          <w:szCs w:val="32"/>
        </w:rPr>
        <w:t>20</w:t>
      </w:r>
      <w:r>
        <w:rPr>
          <w:rFonts w:hint="eastAsia" w:ascii="仿宋_GB2312" w:hAnsi="仿宋" w:eastAsia="仿宋_GB2312"/>
          <w:b w:val="0"/>
          <w:bCs w:val="0"/>
          <w:sz w:val="32"/>
          <w:szCs w:val="32"/>
        </w:rPr>
        <w:t>个项目共计</w:t>
      </w:r>
      <w:r>
        <w:rPr>
          <w:rFonts w:ascii="仿宋_GB2312" w:hAnsi="仿宋" w:eastAsia="仿宋_GB2312"/>
          <w:b w:val="0"/>
          <w:bCs w:val="0"/>
          <w:sz w:val="32"/>
          <w:szCs w:val="32"/>
        </w:rPr>
        <w:t>99.27</w:t>
      </w:r>
      <w:r>
        <w:rPr>
          <w:rFonts w:hint="eastAsia" w:ascii="仿宋_GB2312" w:hAnsi="仿宋" w:eastAsia="仿宋_GB2312"/>
          <w:b w:val="0"/>
          <w:bCs w:val="0"/>
          <w:sz w:val="32"/>
          <w:szCs w:val="32"/>
        </w:rPr>
        <w:t>公顷土地供应。</w:t>
      </w:r>
      <w:r>
        <w:rPr>
          <w:rFonts w:hint="eastAsia" w:ascii="仿宋_GB2312" w:hAnsi="仿宋_GB2312" w:eastAsia="仿宋_GB2312" w:cs="仿宋_GB2312"/>
          <w:b w:val="0"/>
          <w:bCs w:val="0"/>
          <w:sz w:val="32"/>
          <w:szCs w:val="32"/>
        </w:rPr>
        <w:t>深化投融资创新，充分用好</w:t>
      </w:r>
      <w:r>
        <w:rPr>
          <w:rFonts w:ascii="仿宋_GB2312" w:hAnsi="仿宋_GB2312" w:eastAsia="仿宋_GB2312" w:cs="仿宋_GB2312"/>
          <w:b w:val="0"/>
          <w:bCs w:val="0"/>
          <w:sz w:val="32"/>
          <w:szCs w:val="32"/>
        </w:rPr>
        <w:t>政府债</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推动</w:t>
      </w:r>
      <w:r>
        <w:rPr>
          <w:rFonts w:hint="eastAsia" w:ascii="仿宋_GB2312" w:hAnsi="仿宋_GB2312" w:eastAsia="仿宋_GB2312" w:cs="仿宋_GB2312"/>
          <w:b w:val="0"/>
          <w:bCs w:val="0"/>
          <w:sz w:val="32"/>
          <w:szCs w:val="32"/>
        </w:rPr>
        <w:t>自贸区科技创新片区（海淀）温泉、西北旺、苏家坨配套设施提升</w:t>
      </w:r>
      <w:r>
        <w:rPr>
          <w:rFonts w:ascii="仿宋_GB2312" w:hAnsi="仿宋_GB2312" w:eastAsia="仿宋_GB2312" w:cs="仿宋_GB2312"/>
          <w:b w:val="0"/>
          <w:bCs w:val="0"/>
          <w:sz w:val="32"/>
          <w:szCs w:val="32"/>
        </w:rPr>
        <w:t>等项目</w:t>
      </w:r>
      <w:r>
        <w:rPr>
          <w:rFonts w:hint="eastAsia" w:ascii="仿宋_GB2312" w:hAnsi="黑体" w:eastAsia="仿宋_GB2312"/>
          <w:b w:val="0"/>
          <w:bCs w:val="0"/>
          <w:sz w:val="32"/>
          <w:szCs w:val="32"/>
        </w:rPr>
        <w:t>尽快形成实物工作量</w:t>
      </w:r>
      <w:r>
        <w:rPr>
          <w:rFonts w:hint="eastAsia" w:ascii="仿宋_GB2312" w:hAnsi="仿宋_GB2312" w:eastAsia="仿宋_GB2312" w:cs="仿宋_GB2312"/>
          <w:b w:val="0"/>
          <w:bCs w:val="0"/>
          <w:sz w:val="32"/>
          <w:szCs w:val="32"/>
        </w:rPr>
        <w:t>；持续推动</w:t>
      </w:r>
      <w:r>
        <w:rPr>
          <w:rFonts w:hint="eastAsia" w:ascii="仿宋_GB2312" w:eastAsia="仿宋_GB2312"/>
          <w:b w:val="0"/>
          <w:bCs w:val="0"/>
          <w:sz w:val="32"/>
          <w:szCs w:val="32"/>
        </w:rPr>
        <w:t>海悦梧桐苑REITs项目</w:t>
      </w:r>
      <w:r>
        <w:rPr>
          <w:rFonts w:ascii="仿宋_GB2312" w:hAnsi="仿宋_GB2312" w:eastAsia="仿宋_GB2312" w:cs="仿宋_GB2312"/>
          <w:b w:val="0"/>
          <w:bCs w:val="0"/>
          <w:sz w:val="32"/>
          <w:szCs w:val="32"/>
        </w:rPr>
        <w:t>落地，促进保障房、产业园区等资产存量变增量。</w:t>
      </w:r>
      <w:r>
        <w:rPr>
          <w:rFonts w:hint="eastAsia" w:ascii="仿宋_GB2312" w:hAnsi="仿宋_GB2312" w:eastAsia="仿宋_GB2312" w:cs="仿宋_GB2312"/>
          <w:b w:val="0"/>
          <w:bCs w:val="0"/>
          <w:sz w:val="32"/>
          <w:szCs w:val="32"/>
        </w:rPr>
        <w:t>（3）持续推进政府投资项目建设，明确时间节点、严控建设标准，更新管理机制，清理历史遗留项目，提高政府投资执行实效。</w:t>
      </w:r>
    </w:p>
    <w:p w14:paraId="646D2727">
      <w:pPr>
        <w:adjustRightInd w:val="0"/>
        <w:snapToGrid w:val="0"/>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促进消费持续恢复。（</w:t>
      </w: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出台新一轮促消费专项资金支持政策，鼓励时尚消费品牌引进、商圈培育发展、消费模式创新等，全方位带动消费能级提升。（</w:t>
      </w:r>
      <w:r>
        <w:rPr>
          <w:rFonts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t>）</w:t>
      </w:r>
      <w:r>
        <w:rPr>
          <w:rFonts w:hint="eastAsia" w:ascii="仿宋_GB2312" w:eastAsia="仿宋_GB2312"/>
          <w:b w:val="0"/>
          <w:bCs w:val="0"/>
          <w:sz w:val="32"/>
          <w:szCs w:val="32"/>
        </w:rPr>
        <w:t>加快重点商圈和传统商场转型升级，</w:t>
      </w:r>
      <w:r>
        <w:rPr>
          <w:rFonts w:hint="eastAsia" w:ascii="仿宋_GB2312" w:hAnsi="仿宋_GB2312" w:eastAsia="仿宋_GB2312" w:cs="仿宋_GB2312"/>
          <w:b w:val="0"/>
          <w:bCs w:val="0"/>
          <w:sz w:val="32"/>
          <w:szCs w:val="32"/>
        </w:rPr>
        <w:t>编制形成</w:t>
      </w:r>
      <w:r>
        <w:rPr>
          <w:rFonts w:ascii="仿宋_GB2312" w:hAnsi="仿宋_GB2312" w:eastAsia="仿宋_GB2312" w:cs="仿宋_GB2312"/>
          <w:b w:val="0"/>
          <w:bCs w:val="0"/>
          <w:sz w:val="32"/>
          <w:szCs w:val="32"/>
        </w:rPr>
        <w:t>重点商圈高质量发展工作方案</w:t>
      </w:r>
      <w:r>
        <w:rPr>
          <w:rFonts w:hint="eastAsia" w:ascii="仿宋_GB2312" w:hAnsi="仿宋_GB2312" w:eastAsia="仿宋_GB2312" w:cs="仿宋_GB2312"/>
          <w:b w:val="0"/>
          <w:bCs w:val="0"/>
          <w:sz w:val="32"/>
          <w:szCs w:val="32"/>
        </w:rPr>
        <w:t>，</w:t>
      </w:r>
      <w:r>
        <w:rPr>
          <w:rFonts w:hint="eastAsia" w:ascii="仿宋_GB2312" w:eastAsia="仿宋_GB2312"/>
          <w:b w:val="0"/>
          <w:bCs w:val="0"/>
          <w:sz w:val="32"/>
          <w:szCs w:val="32"/>
        </w:rPr>
        <w:t>全力打造中关村、五棵松等2个市级城市消费中心以及公主坟、五道口等5个地区活力消费圈，</w:t>
      </w:r>
      <w:r>
        <w:rPr>
          <w:rFonts w:ascii="仿宋_GB2312" w:hAnsi="仿宋_GB2312" w:eastAsia="仿宋_GB2312" w:cs="仿宋_GB2312"/>
          <w:b w:val="0"/>
          <w:bCs w:val="0"/>
          <w:sz w:val="32"/>
          <w:szCs w:val="32"/>
        </w:rPr>
        <w:t>确保西北旺万象汇、西三旗万象汇</w:t>
      </w:r>
      <w:r>
        <w:rPr>
          <w:rFonts w:hint="eastAsia" w:ascii="仿宋_GB2312" w:hAnsi="仿宋_GB2312" w:eastAsia="仿宋_GB2312" w:cs="仿宋_GB2312"/>
          <w:b w:val="0"/>
          <w:bCs w:val="0"/>
          <w:sz w:val="32"/>
          <w:szCs w:val="32"/>
        </w:rPr>
        <w:t>以及五棵松万达广场</w:t>
      </w:r>
      <w:r>
        <w:rPr>
          <w:rFonts w:ascii="仿宋_GB2312" w:hAnsi="仿宋_GB2312" w:eastAsia="仿宋_GB2312" w:cs="仿宋_GB2312"/>
          <w:b w:val="0"/>
          <w:bCs w:val="0"/>
          <w:sz w:val="32"/>
          <w:szCs w:val="32"/>
        </w:rPr>
        <w:t>开业运营，打造新型体验式综合消费载体。（</w:t>
      </w:r>
      <w:r>
        <w:rPr>
          <w:rFonts w:hint="eastAsia" w:ascii="仿宋_GB2312" w:hAnsi="仿宋_GB2312" w:eastAsia="仿宋_GB2312" w:cs="仿宋_GB2312"/>
          <w:b w:val="0"/>
          <w:bCs w:val="0"/>
          <w:sz w:val="32"/>
          <w:szCs w:val="32"/>
        </w:rPr>
        <w:t>3</w:t>
      </w:r>
      <w:r>
        <w:rPr>
          <w:rFonts w:ascii="仿宋_GB2312" w:hAnsi="仿宋_GB2312" w:eastAsia="仿宋_GB2312" w:cs="仿宋_GB2312"/>
          <w:b w:val="0"/>
          <w:bCs w:val="0"/>
          <w:sz w:val="32"/>
          <w:szCs w:val="32"/>
        </w:rPr>
        <w:t>）持续开展北京消费季·悦动海淀系列活动，结合冬季冰雪、户外运动等消费热点，融合文旅体育消费元素，吸引</w:t>
      </w:r>
      <w:r>
        <w:rPr>
          <w:rFonts w:hint="eastAsia" w:ascii="仿宋_GB2312" w:hAnsi="仿宋_GB2312" w:eastAsia="仿宋_GB2312" w:cs="仿宋_GB2312"/>
          <w:b w:val="0"/>
          <w:bCs w:val="0"/>
          <w:sz w:val="32"/>
          <w:szCs w:val="32"/>
        </w:rPr>
        <w:t>各类首店及时尚零售企业落地，促进区域消费市场活跃发展。（4</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进一步优化便民商业网点空间布局，建设不少于5个“一刻钟便民生活圈”，满足群众高品质、多样化生活服务需求。</w:t>
      </w:r>
    </w:p>
    <w:p w14:paraId="2BE04D80">
      <w:pPr>
        <w:adjustRightInd w:val="0"/>
        <w:snapToGrid w:val="0"/>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 w:eastAsia="仿宋_GB2312"/>
          <w:b w:val="0"/>
          <w:bCs w:val="0"/>
          <w:sz w:val="32"/>
          <w:szCs w:val="32"/>
        </w:rPr>
        <w:t>促进对外经济稳定发展。（1）</w:t>
      </w:r>
      <w:r>
        <w:rPr>
          <w:rFonts w:hint="eastAsia" w:ascii="仿宋_GB2312" w:hAnsi="仿宋_GB2312" w:eastAsia="仿宋_GB2312" w:cs="仿宋_GB2312"/>
          <w:b w:val="0"/>
          <w:bCs w:val="0"/>
          <w:sz w:val="32"/>
          <w:szCs w:val="32"/>
        </w:rPr>
        <w:t>完善外资外贸企业服务机制，持续优化外资外贸结构，推动更高水平对外开放。（2）发挥外贸转型升级基地示范带动效应，以机电设备、集成电路、医疗器械等领域为重点，助力企业开拓多元市场。</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3</w:t>
      </w:r>
      <w:r>
        <w:rPr>
          <w:rFonts w:ascii="仿宋_GB2312" w:hAnsi="仿宋_GB2312" w:eastAsia="仿宋_GB2312" w:cs="仿宋_GB2312"/>
          <w:b w:val="0"/>
          <w:bCs w:val="0"/>
          <w:sz w:val="32"/>
          <w:szCs w:val="32"/>
        </w:rPr>
        <w:t>）</w:t>
      </w:r>
      <w:r>
        <w:rPr>
          <w:rFonts w:hint="eastAsia" w:ascii="仿宋_GB2312" w:hAnsi="宋体" w:eastAsia="仿宋_GB2312" w:cs="宋体"/>
          <w:b w:val="0"/>
          <w:bCs w:val="0"/>
          <w:kern w:val="0"/>
          <w:sz w:val="32"/>
          <w:szCs w:val="32"/>
        </w:rPr>
        <w:t>鼓励创新主体开展离岸创新，</w:t>
      </w:r>
      <w:r>
        <w:rPr>
          <w:rFonts w:hint="eastAsia" w:ascii="仿宋_GB2312" w:hAnsi="仿宋_GB2312" w:eastAsia="仿宋_GB2312" w:cs="仿宋_GB2312"/>
          <w:b w:val="0"/>
          <w:bCs w:val="0"/>
          <w:sz w:val="32"/>
          <w:szCs w:val="32"/>
        </w:rPr>
        <w:t>搭建国际合作平台，支持科技企业开展跨境合作；</w:t>
      </w:r>
      <w:r>
        <w:rPr>
          <w:rFonts w:hint="eastAsia" w:ascii="仿宋_GB2312" w:hAnsi="宋体" w:eastAsia="仿宋_GB2312" w:cs="宋体"/>
          <w:b w:val="0"/>
          <w:bCs w:val="0"/>
          <w:kern w:val="0"/>
          <w:sz w:val="32"/>
          <w:szCs w:val="32"/>
        </w:rPr>
        <w:t>链接全球创新资源，</w:t>
      </w:r>
      <w:r>
        <w:rPr>
          <w:rFonts w:hint="eastAsia" w:ascii="仿宋_GB2312" w:hAnsi="仿宋_GB2312" w:eastAsia="仿宋_GB2312" w:cs="仿宋_GB2312"/>
          <w:b w:val="0"/>
          <w:bCs w:val="0"/>
          <w:sz w:val="32"/>
          <w:szCs w:val="32"/>
        </w:rPr>
        <w:t>开展“环球商机”“外交官走进中关村科学城”及其他国际合作对接交流活动</w:t>
      </w:r>
      <w:r>
        <w:rPr>
          <w:rFonts w:ascii="仿宋_GB2312" w:hAnsi="仿宋_GB2312" w:eastAsia="仿宋_GB2312" w:cs="仿宋_GB2312"/>
          <w:b w:val="0"/>
          <w:bCs w:val="0"/>
          <w:sz w:val="32"/>
          <w:szCs w:val="32"/>
        </w:rPr>
        <w:t>。</w:t>
      </w:r>
    </w:p>
    <w:p w14:paraId="2B742296">
      <w:pPr>
        <w:adjustRightInd w:val="0"/>
        <w:snapToGrid w:val="0"/>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激发市场主体活力。（</w:t>
      </w: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用足用好中央、市级稳增长政策，畅通政策落地“最后一公里”；做好对重点行业和中小微企业助企纾困的区级政策储备，适时调整优化帮扶政策，力促经济增长稳步恢复。（</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促进平台企业规范健康持续发展，进一步完善与平台经济发展相适应的制度环境和监管模式，加快推动一批“绿灯”投资案例落地实施，支持平台企业拓展数字零售、社交电商、在线健身、云旅游等数字经济新模式。</w:t>
      </w:r>
    </w:p>
    <w:p w14:paraId="6E40715C">
      <w:pPr>
        <w:adjustRightInd w:val="0"/>
        <w:snapToGrid w:val="0"/>
        <w:spacing w:line="560" w:lineRule="exact"/>
        <w:ind w:firstLine="640" w:firstLineChars="200"/>
        <w:rPr>
          <w:rFonts w:ascii="楷体_GB2312" w:eastAsia="楷体_GB2312"/>
          <w:b w:val="0"/>
          <w:bCs w:val="0"/>
          <w:sz w:val="32"/>
          <w:szCs w:val="32"/>
        </w:rPr>
      </w:pPr>
      <w:r>
        <w:rPr>
          <w:rFonts w:hint="eastAsia" w:ascii="楷体_GB2312" w:eastAsia="楷体_GB2312"/>
          <w:b w:val="0"/>
          <w:bCs w:val="0"/>
          <w:sz w:val="32"/>
          <w:szCs w:val="32"/>
        </w:rPr>
        <w:t>（三）用“绣花”功夫提升城市功能品质，努力建设高颜值生态宜居城区</w:t>
      </w:r>
    </w:p>
    <w:p w14:paraId="6B7544B0">
      <w:pPr>
        <w:adjustRightInd w:val="0"/>
        <w:snapToGrid w:val="0"/>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 w:eastAsia="仿宋_GB2312"/>
          <w:b w:val="0"/>
          <w:bCs w:val="0"/>
          <w:sz w:val="32"/>
          <w:szCs w:val="32"/>
        </w:rPr>
        <w:t>加快科学城北区建设进程。</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1）做好规划编制与实施的统筹衔接。</w:t>
      </w:r>
      <w:r>
        <w:rPr>
          <w:rFonts w:hint="eastAsia" w:ascii="仿宋_GB2312" w:hAnsi="仿宋_GB2312" w:eastAsia="仿宋_GB2312" w:cs="仿宋_GB2312"/>
          <w:b w:val="0"/>
          <w:bCs w:val="0"/>
          <w:sz w:val="32"/>
          <w:szCs w:val="32"/>
        </w:rPr>
        <w:t>推进已编制的</w:t>
      </w:r>
      <w:r>
        <w:rPr>
          <w:rFonts w:ascii="仿宋_GB2312" w:hAnsi="仿宋_GB2312" w:eastAsia="仿宋_GB2312" w:cs="仿宋_GB2312"/>
          <w:b w:val="0"/>
          <w:bCs w:val="0"/>
          <w:sz w:val="32"/>
          <w:szCs w:val="32"/>
        </w:rPr>
        <w:t>12个街区控规取得市政府批复</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启动</w:t>
      </w:r>
      <w:r>
        <w:rPr>
          <w:rFonts w:hint="eastAsia" w:ascii="仿宋_GB2312" w:hAnsi="仿宋_GB2312" w:eastAsia="仿宋_GB2312" w:cs="仿宋_GB2312"/>
          <w:b w:val="0"/>
          <w:bCs w:val="0"/>
          <w:sz w:val="32"/>
          <w:szCs w:val="32"/>
        </w:rPr>
        <w:t>9</w:t>
      </w:r>
      <w:r>
        <w:rPr>
          <w:rFonts w:ascii="仿宋_GB2312" w:hAnsi="仿宋_GB2312" w:eastAsia="仿宋_GB2312" w:cs="仿宋_GB2312"/>
          <w:b w:val="0"/>
          <w:bCs w:val="0"/>
          <w:sz w:val="32"/>
          <w:szCs w:val="32"/>
        </w:rPr>
        <w:t>个街区控规编制。</w:t>
      </w:r>
      <w:r>
        <w:rPr>
          <w:rFonts w:hint="eastAsia" w:ascii="仿宋_GB2312" w:hAnsi="仿宋_GB2312" w:eastAsia="仿宋_GB2312" w:cs="仿宋_GB2312"/>
          <w:b w:val="0"/>
          <w:bCs w:val="0"/>
          <w:sz w:val="32"/>
          <w:szCs w:val="32"/>
        </w:rPr>
        <w:t>科学安排2023年北区开发建设计划，高标准落地实施。</w:t>
      </w:r>
      <w:r>
        <w:rPr>
          <w:rFonts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t>加快北部土地供应</w:t>
      </w:r>
      <w:r>
        <w:rPr>
          <w:rFonts w:ascii="仿宋_GB2312" w:hAnsi="仿宋_GB2312" w:eastAsia="仿宋_GB2312" w:cs="仿宋_GB2312"/>
          <w:b w:val="0"/>
          <w:bCs w:val="0"/>
          <w:sz w:val="32"/>
          <w:szCs w:val="32"/>
        </w:rPr>
        <w:t>。推进翠湖新增G等地块入市</w:t>
      </w:r>
      <w:r>
        <w:rPr>
          <w:rFonts w:hint="eastAsia" w:ascii="仿宋_GB2312" w:hAnsi="仿宋_GB2312" w:eastAsia="仿宋_GB2312" w:cs="仿宋_GB2312"/>
          <w:b w:val="0"/>
          <w:bCs w:val="0"/>
          <w:sz w:val="32"/>
          <w:szCs w:val="32"/>
        </w:rPr>
        <w:t>，加速</w:t>
      </w:r>
      <w:r>
        <w:rPr>
          <w:rFonts w:ascii="仿宋_GB2312" w:hAnsi="仿宋_GB2312" w:eastAsia="仿宋_GB2312" w:cs="仿宋_GB2312"/>
          <w:b w:val="0"/>
          <w:bCs w:val="0"/>
          <w:sz w:val="32"/>
          <w:szCs w:val="32"/>
        </w:rPr>
        <w:t>翠湖新增A1、E6地块协议出让</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t>加大产业空间供给，</w:t>
      </w:r>
      <w:r>
        <w:rPr>
          <w:rFonts w:hint="eastAsia" w:ascii="仿宋_GB2312" w:hAnsi="黑体" w:eastAsia="仿宋_GB2312"/>
          <w:b w:val="0"/>
          <w:bCs w:val="0"/>
          <w:sz w:val="32"/>
          <w:szCs w:val="32"/>
        </w:rPr>
        <w:t>重点推进西北旺X2地块、温泉科技园二期、北京协同创新园等项目建设提速</w:t>
      </w:r>
      <w:r>
        <w:rPr>
          <w:rFonts w:hint="eastAsia" w:ascii="仿宋_GB2312" w:eastAsia="仿宋_GB2312"/>
          <w:b w:val="0"/>
          <w:bCs w:val="0"/>
          <w:sz w:val="32"/>
          <w:szCs w:val="32"/>
        </w:rPr>
        <w:t>。（4）进一步完善基础设施。</w:t>
      </w:r>
      <w:r>
        <w:rPr>
          <w:rFonts w:hint="eastAsia" w:ascii="仿宋_GB2312" w:hAnsi="仿宋_GB2312" w:eastAsia="仿宋_GB2312" w:cs="仿宋_GB2312"/>
          <w:b w:val="0"/>
          <w:bCs w:val="0"/>
          <w:sz w:val="32"/>
          <w:szCs w:val="32"/>
        </w:rPr>
        <w:t>加快推进上庄路北段、北清路快速化改造（海淀段）施工建设</w:t>
      </w:r>
      <w:r>
        <w:rPr>
          <w:rFonts w:hint="eastAsia" w:ascii="仿宋_GB2312" w:eastAsia="仿宋_GB2312"/>
          <w:b w:val="0"/>
          <w:bCs w:val="0"/>
          <w:sz w:val="32"/>
          <w:szCs w:val="32"/>
        </w:rPr>
        <w:t>。启动上庄再生水厂（二期）建设，推进冷泉北沟一期、二期项目建设，力争“稻香湖再生水厂二期”</w:t>
      </w:r>
      <w:r>
        <w:rPr>
          <w:rFonts w:ascii="仿宋_GB2312" w:eastAsia="仿宋_GB2312"/>
          <w:b w:val="0"/>
          <w:bCs w:val="0"/>
          <w:sz w:val="32"/>
          <w:szCs w:val="32"/>
        </w:rPr>
        <w:t>实现通水。</w:t>
      </w:r>
      <w:r>
        <w:rPr>
          <w:rFonts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rPr>
        <w:t>）提速农村城市化进程。</w:t>
      </w:r>
      <w:r>
        <w:rPr>
          <w:rFonts w:hint="eastAsia" w:ascii="仿宋_GB2312" w:eastAsia="仿宋_GB2312"/>
          <w:b w:val="0"/>
          <w:bCs w:val="0"/>
          <w:sz w:val="32"/>
          <w:szCs w:val="32"/>
        </w:rPr>
        <w:t>启动韩家川、后沙涧等</w:t>
      </w:r>
      <w:r>
        <w:rPr>
          <w:rFonts w:ascii="仿宋_GB2312" w:eastAsia="仿宋_GB2312"/>
          <w:b w:val="0"/>
          <w:bCs w:val="0"/>
          <w:sz w:val="32"/>
          <w:szCs w:val="32"/>
        </w:rPr>
        <w:t>5个村</w:t>
      </w:r>
      <w:r>
        <w:rPr>
          <w:rFonts w:hint="eastAsia" w:ascii="仿宋_GB2312" w:eastAsia="仿宋_GB2312"/>
          <w:b w:val="0"/>
          <w:bCs w:val="0"/>
          <w:sz w:val="32"/>
          <w:szCs w:val="32"/>
        </w:rPr>
        <w:t>庄</w:t>
      </w:r>
      <w:r>
        <w:rPr>
          <w:rFonts w:ascii="仿宋_GB2312" w:eastAsia="仿宋_GB2312"/>
          <w:b w:val="0"/>
          <w:bCs w:val="0"/>
          <w:sz w:val="32"/>
          <w:szCs w:val="32"/>
        </w:rPr>
        <w:t>及管家岭自然村</w:t>
      </w:r>
      <w:r>
        <w:rPr>
          <w:rFonts w:hint="eastAsia" w:ascii="仿宋_GB2312" w:eastAsia="仿宋_GB2312"/>
          <w:b w:val="0"/>
          <w:bCs w:val="0"/>
          <w:sz w:val="32"/>
          <w:szCs w:val="32"/>
        </w:rPr>
        <w:t>腾退</w:t>
      </w:r>
      <w:r>
        <w:rPr>
          <w:rFonts w:hint="eastAsia" w:ascii="仿宋_GB2312" w:hAnsi="仿宋_GB2312" w:eastAsia="仿宋_GB2312" w:cs="仿宋_GB2312"/>
          <w:b w:val="0"/>
          <w:bCs w:val="0"/>
          <w:sz w:val="32"/>
          <w:szCs w:val="32"/>
        </w:rPr>
        <w:t>，推动</w:t>
      </w:r>
      <w:r>
        <w:rPr>
          <w:rFonts w:hint="eastAsia" w:ascii="仿宋_GB2312" w:hAnsi="黑体" w:eastAsia="仿宋_GB2312"/>
          <w:b w:val="0"/>
          <w:bCs w:val="0"/>
          <w:sz w:val="32"/>
          <w:szCs w:val="32"/>
        </w:rPr>
        <w:t>上庄镇东小营集租房开工，</w:t>
      </w:r>
      <w:r>
        <w:rPr>
          <w:rFonts w:hint="eastAsia" w:ascii="仿宋_GB2312" w:hAnsi="仿宋_GB2312" w:eastAsia="仿宋_GB2312" w:cs="仿宋_GB2312"/>
          <w:b w:val="0"/>
          <w:bCs w:val="0"/>
          <w:sz w:val="32"/>
          <w:szCs w:val="32"/>
        </w:rPr>
        <w:t>加快温泉F、C地块安置房等在施项目建设，开展凤仪佳苑、水岸家园等建成入住安置房产权登记。</w:t>
      </w:r>
    </w:p>
    <w:p w14:paraId="17B6A4C3">
      <w:pPr>
        <w:adjustRightInd w:val="0"/>
        <w:snapToGrid w:val="0"/>
        <w:spacing w:line="560" w:lineRule="exact"/>
        <w:ind w:firstLine="640" w:firstLineChars="200"/>
        <w:rPr>
          <w:rFonts w:hint="eastAsia" w:ascii="仿宋_GB2312" w:hAnsi="仿宋" w:eastAsia="仿宋_GB2312" w:cs="仿宋"/>
          <w:b w:val="0"/>
          <w:bCs w:val="0"/>
          <w:sz w:val="32"/>
          <w:szCs w:val="32"/>
        </w:rPr>
      </w:pPr>
      <w:r>
        <w:rPr>
          <w:rFonts w:hint="eastAsia" w:ascii="仿宋_GB2312" w:hAnsi="仿宋" w:eastAsia="仿宋_GB2312"/>
          <w:b w:val="0"/>
          <w:bCs w:val="0"/>
          <w:sz w:val="32"/>
          <w:szCs w:val="32"/>
        </w:rPr>
        <w:t>全面推动实施城市更新。</w:t>
      </w:r>
      <w:r>
        <w:rPr>
          <w:rFonts w:hint="eastAsia" w:ascii="仿宋_GB2312" w:hAnsi="仿宋" w:eastAsia="仿宋_GB2312" w:cs="仿宋"/>
          <w:b w:val="0"/>
          <w:bCs w:val="0"/>
          <w:sz w:val="32"/>
          <w:szCs w:val="32"/>
        </w:rPr>
        <w:t>（1</w:t>
      </w:r>
      <w:r>
        <w:rPr>
          <w:rFonts w:ascii="仿宋_GB2312" w:hAnsi="仿宋" w:eastAsia="仿宋_GB2312" w:cs="仿宋"/>
          <w:b w:val="0"/>
          <w:bCs w:val="0"/>
          <w:sz w:val="32"/>
          <w:szCs w:val="32"/>
        </w:rPr>
        <w:t>）</w:t>
      </w:r>
      <w:r>
        <w:rPr>
          <w:rFonts w:hint="eastAsia" w:ascii="仿宋_GB2312" w:hAnsi="仿宋" w:eastAsia="仿宋_GB2312" w:cs="仿宋"/>
          <w:b w:val="0"/>
          <w:bCs w:val="0"/>
          <w:sz w:val="32"/>
          <w:szCs w:val="32"/>
        </w:rPr>
        <w:t>严格落实三山五园地区整体保护规划，</w:t>
      </w:r>
      <w:r>
        <w:rPr>
          <w:rFonts w:hint="eastAsia" w:ascii="仿宋_GB2312" w:eastAsia="仿宋_GB2312"/>
          <w:b w:val="0"/>
          <w:bCs w:val="0"/>
          <w:sz w:val="32"/>
          <w:szCs w:val="32"/>
        </w:rPr>
        <w:t>启动骚子营、大有庄地区搬迁腾退，推进</w:t>
      </w:r>
      <w:r>
        <w:rPr>
          <w:rFonts w:hint="eastAsia" w:ascii="仿宋_GB2312" w:hAnsi="仿宋" w:eastAsia="仿宋_GB2312" w:cs="仿宋"/>
          <w:b w:val="0"/>
          <w:bCs w:val="0"/>
          <w:sz w:val="32"/>
          <w:szCs w:val="32"/>
        </w:rPr>
        <w:t>挂甲屯（三期）腾退改造，</w:t>
      </w:r>
      <w:r>
        <w:rPr>
          <w:rFonts w:hint="eastAsia" w:ascii="仿宋_GB2312" w:eastAsia="仿宋_GB2312"/>
          <w:b w:val="0"/>
          <w:bCs w:val="0"/>
          <w:sz w:val="32"/>
          <w:szCs w:val="32"/>
        </w:rPr>
        <w:t>力争功德寺安置房达到交付条件</w:t>
      </w:r>
      <w:r>
        <w:rPr>
          <w:rFonts w:hint="eastAsia" w:ascii="仿宋_GB2312" w:hAnsi="黑体" w:eastAsia="仿宋_GB2312"/>
          <w:b w:val="0"/>
          <w:bCs w:val="0"/>
          <w:sz w:val="32"/>
          <w:szCs w:val="32"/>
        </w:rPr>
        <w:t>。（2）</w:t>
      </w:r>
      <w:r>
        <w:rPr>
          <w:rFonts w:hint="eastAsia" w:ascii="仿宋_GB2312" w:eastAsia="仿宋_GB2312"/>
          <w:b w:val="0"/>
          <w:bCs w:val="0"/>
          <w:sz w:val="32"/>
          <w:szCs w:val="32"/>
        </w:rPr>
        <w:t>完成京张铁路遗址公园（一期）</w:t>
      </w:r>
      <w:r>
        <w:rPr>
          <w:rFonts w:hint="eastAsia" w:ascii="仿宋_GB2312" w:hAnsi="仿宋_GB2312" w:eastAsia="仿宋_GB2312" w:cs="仿宋_GB2312"/>
          <w:b w:val="0"/>
          <w:bCs w:val="0"/>
          <w:sz w:val="32"/>
          <w:szCs w:val="32"/>
        </w:rPr>
        <w:t>、清河树村段滨水景观提升项目建设</w:t>
      </w:r>
      <w:r>
        <w:rPr>
          <w:rFonts w:hint="eastAsia" w:ascii="仿宋_GB2312" w:hAnsi="仿宋" w:eastAsia="仿宋_GB2312" w:cs="仿宋"/>
          <w:b w:val="0"/>
          <w:bCs w:val="0"/>
          <w:sz w:val="32"/>
          <w:szCs w:val="32"/>
        </w:rPr>
        <w:t>。（3）</w:t>
      </w:r>
      <w:r>
        <w:rPr>
          <w:rFonts w:hint="eastAsia" w:ascii="仿宋_GB2312" w:hAnsi="仿宋" w:eastAsia="仿宋_GB2312" w:cs="仿宋"/>
          <w:b w:val="0"/>
          <w:bCs w:val="0"/>
          <w:sz w:val="32"/>
          <w:szCs w:val="32"/>
          <w:lang w:val="en-US" w:eastAsia="zh-CN"/>
        </w:rPr>
        <w:t>实施</w:t>
      </w:r>
      <w:r>
        <w:rPr>
          <w:rFonts w:hint="eastAsia" w:ascii="仿宋_GB2312" w:hAnsi="仿宋" w:eastAsia="仿宋_GB2312" w:cs="仿宋"/>
          <w:b w:val="0"/>
          <w:bCs w:val="0"/>
          <w:sz w:val="32"/>
          <w:szCs w:val="32"/>
        </w:rPr>
        <w:t>育新花园、玉海园等55个老旧小区、215栋楼、160.9万平方米改造工程，新启动约70个小区、160万平方米改造工程。推进</w:t>
      </w:r>
      <w:r>
        <w:rPr>
          <w:rFonts w:hint="eastAsia" w:ascii="仿宋_GB2312" w:hAnsi="仿宋_GB2312" w:eastAsia="仿宋_GB2312" w:cs="仿宋_GB2312"/>
          <w:b w:val="0"/>
          <w:bCs w:val="0"/>
          <w:sz w:val="32"/>
          <w:szCs w:val="32"/>
        </w:rPr>
        <w:t>首体学院平房、中关村东区等5个危旧楼、简易楼改造项目</w:t>
      </w:r>
      <w:r>
        <w:rPr>
          <w:rFonts w:ascii="仿宋_GB2312" w:hAnsi="仿宋" w:eastAsia="仿宋_GB2312" w:cs="仿宋"/>
          <w:b w:val="0"/>
          <w:bCs w:val="0"/>
          <w:sz w:val="32"/>
          <w:szCs w:val="32"/>
        </w:rPr>
        <w:t>。</w:t>
      </w:r>
      <w:r>
        <w:rPr>
          <w:rFonts w:hint="eastAsia" w:ascii="仿宋_GB2312" w:hAnsi="仿宋" w:eastAsia="仿宋_GB2312" w:cs="仿宋"/>
          <w:b w:val="0"/>
          <w:bCs w:val="0"/>
          <w:sz w:val="32"/>
          <w:szCs w:val="32"/>
        </w:rPr>
        <w:t>（4）加快推进</w:t>
      </w:r>
      <w:r>
        <w:rPr>
          <w:rFonts w:hint="eastAsia" w:ascii="仿宋_GB2312" w:hAnsi="仿宋_GB2312" w:eastAsia="仿宋_GB2312" w:cs="仿宋_GB2312"/>
          <w:b w:val="0"/>
          <w:bCs w:val="0"/>
          <w:sz w:val="32"/>
          <w:szCs w:val="32"/>
        </w:rPr>
        <w:t>金隅智药园、鼎好B座等产业类城市更新项目，促进存量产业空间焕发生机。</w:t>
      </w:r>
      <w:r>
        <w:rPr>
          <w:rFonts w:ascii="仿宋_GB2312" w:hAnsi="仿宋" w:eastAsia="仿宋_GB2312" w:cs="仿宋"/>
          <w:b w:val="0"/>
          <w:bCs w:val="0"/>
          <w:sz w:val="32"/>
          <w:szCs w:val="32"/>
        </w:rPr>
        <w:t>（</w:t>
      </w:r>
      <w:r>
        <w:rPr>
          <w:rFonts w:hint="eastAsia" w:ascii="仿宋_GB2312" w:hAnsi="仿宋" w:eastAsia="仿宋_GB2312" w:cs="仿宋"/>
          <w:b w:val="0"/>
          <w:bCs w:val="0"/>
          <w:sz w:val="32"/>
          <w:szCs w:val="32"/>
        </w:rPr>
        <w:t>5）推进</w:t>
      </w:r>
      <w:r>
        <w:rPr>
          <w:rFonts w:hint="eastAsia" w:ascii="仿宋_GB2312" w:hAnsi="仿宋_GB2312" w:eastAsia="仿宋_GB2312" w:cs="仿宋_GB2312"/>
          <w:b w:val="0"/>
          <w:bCs w:val="0"/>
          <w:sz w:val="32"/>
          <w:szCs w:val="32"/>
        </w:rPr>
        <w:t>朱房及清河四街周边改造、五塔寺等4个区域综合性城市更新项目</w:t>
      </w:r>
      <w:r>
        <w:rPr>
          <w:rFonts w:hint="eastAsia" w:ascii="仿宋_GB2312" w:hAnsi="仿宋" w:eastAsia="仿宋_GB2312" w:cs="仿宋"/>
          <w:b w:val="0"/>
          <w:bCs w:val="0"/>
          <w:sz w:val="32"/>
          <w:szCs w:val="32"/>
        </w:rPr>
        <w:t>。</w:t>
      </w:r>
      <w:r>
        <w:rPr>
          <w:rFonts w:hint="eastAsia" w:ascii="仿宋_GB2312" w:hAnsi="仿宋" w:eastAsia="仿宋_GB2312" w:cs="仿宋"/>
          <w:b w:val="0"/>
          <w:bCs w:val="0"/>
          <w:sz w:val="32"/>
          <w:szCs w:val="32"/>
          <w:lang w:eastAsia="zh-CN"/>
        </w:rPr>
        <w:t>（</w:t>
      </w:r>
      <w:r>
        <w:rPr>
          <w:rFonts w:hint="eastAsia" w:ascii="仿宋_GB2312" w:hAnsi="仿宋" w:eastAsia="仿宋_GB2312" w:cs="仿宋"/>
          <w:b w:val="0"/>
          <w:bCs w:val="0"/>
          <w:sz w:val="32"/>
          <w:szCs w:val="32"/>
          <w:lang w:val="en-US" w:eastAsia="zh-CN"/>
        </w:rPr>
        <w:t>6</w:t>
      </w:r>
      <w:r>
        <w:rPr>
          <w:rFonts w:hint="eastAsia" w:ascii="仿宋_GB2312" w:hAnsi="仿宋" w:eastAsia="仿宋_GB2312" w:cs="仿宋"/>
          <w:b w:val="0"/>
          <w:bCs w:val="0"/>
          <w:sz w:val="32"/>
          <w:szCs w:val="32"/>
          <w:lang w:eastAsia="zh-CN"/>
        </w:rPr>
        <w:t>）</w:t>
      </w:r>
      <w:r>
        <w:rPr>
          <w:rFonts w:hint="eastAsia" w:ascii="仿宋_GB2312" w:hAnsi="仿宋" w:eastAsia="仿宋_GB2312" w:cs="仿宋"/>
          <w:b w:val="0"/>
          <w:bCs w:val="0"/>
          <w:sz w:val="32"/>
          <w:szCs w:val="32"/>
          <w:lang w:val="en-US" w:eastAsia="zh-CN"/>
        </w:rPr>
        <w:t>全面推进科学城南区村庄搬迁腾退，完成10个村庄搬迁腾退。</w:t>
      </w:r>
      <w:r>
        <w:rPr>
          <w:rFonts w:hint="eastAsia" w:ascii="仿宋_GB2312" w:hAnsi="仿宋" w:eastAsia="仿宋_GB2312" w:cs="仿宋"/>
          <w:b w:val="0"/>
          <w:bCs w:val="0"/>
          <w:sz w:val="32"/>
          <w:szCs w:val="32"/>
        </w:rPr>
        <w:t>（</w:t>
      </w:r>
      <w:r>
        <w:rPr>
          <w:rFonts w:hint="eastAsia" w:ascii="仿宋_GB2312" w:hAnsi="仿宋" w:eastAsia="仿宋_GB2312" w:cs="仿宋"/>
          <w:b w:val="0"/>
          <w:bCs w:val="0"/>
          <w:sz w:val="32"/>
          <w:szCs w:val="32"/>
          <w:lang w:val="en-US" w:eastAsia="zh-CN"/>
        </w:rPr>
        <w:t>7</w:t>
      </w:r>
      <w:r>
        <w:rPr>
          <w:rFonts w:hint="eastAsia" w:ascii="仿宋_GB2312" w:hAnsi="仿宋" w:eastAsia="仿宋_GB2312" w:cs="仿宋"/>
          <w:b w:val="0"/>
          <w:bCs w:val="0"/>
          <w:sz w:val="32"/>
          <w:szCs w:val="32"/>
        </w:rPr>
        <w:t>）</w:t>
      </w:r>
      <w:r>
        <w:rPr>
          <w:rFonts w:hint="eastAsia" w:ascii="仿宋_GB2312" w:hAnsi="宋体" w:eastAsia="仿宋_GB2312"/>
          <w:b w:val="0"/>
          <w:bCs w:val="0"/>
          <w:sz w:val="32"/>
          <w:szCs w:val="32"/>
        </w:rPr>
        <w:t>开展</w:t>
      </w:r>
      <w:r>
        <w:rPr>
          <w:rFonts w:hint="eastAsia" w:ascii="仿宋_GB2312" w:hAnsi="仿宋" w:eastAsia="仿宋_GB2312" w:cs="仿宋"/>
          <w:b w:val="0"/>
          <w:bCs w:val="0"/>
          <w:sz w:val="32"/>
          <w:szCs w:val="32"/>
        </w:rPr>
        <w:t>23条主、次干路通信架空线入地和部分背街小巷通信架空线梳理整治，力争当年通信架空线入地管道建设开工率达40％以上。</w:t>
      </w:r>
    </w:p>
    <w:p w14:paraId="04291BBC">
      <w:pPr>
        <w:adjustRightInd w:val="0"/>
        <w:snapToGrid w:val="0"/>
        <w:spacing w:line="560" w:lineRule="exact"/>
        <w:ind w:firstLine="640" w:firstLineChars="200"/>
        <w:rPr>
          <w:rFonts w:ascii="仿宋_GB2312" w:hAnsi="仿宋" w:eastAsia="仿宋_GB2312" w:cs="仿宋"/>
          <w:b w:val="0"/>
          <w:bCs w:val="0"/>
          <w:sz w:val="32"/>
          <w:szCs w:val="32"/>
        </w:rPr>
      </w:pPr>
      <w:r>
        <w:rPr>
          <w:rFonts w:hint="eastAsia" w:ascii="仿宋_GB2312" w:hAnsi="仿宋" w:eastAsia="仿宋_GB2312" w:cs="仿宋"/>
          <w:b w:val="0"/>
          <w:bCs w:val="0"/>
          <w:sz w:val="32"/>
          <w:szCs w:val="32"/>
        </w:rPr>
        <w:t>全力优化城市交通体系。</w:t>
      </w:r>
      <w:r>
        <w:rPr>
          <w:rFonts w:hint="eastAsia" w:ascii="仿宋_GB2312" w:eastAsia="仿宋_GB2312"/>
          <w:b w:val="0"/>
          <w:bCs w:val="0"/>
          <w:sz w:val="32"/>
          <w:szCs w:val="32"/>
        </w:rPr>
        <w:t>（1）</w:t>
      </w:r>
      <w:r>
        <w:rPr>
          <w:rFonts w:hint="eastAsia" w:ascii="仿宋_GB2312" w:hAnsi="仿宋" w:eastAsia="仿宋_GB2312" w:cs="仿宋"/>
          <w:b w:val="0"/>
          <w:bCs w:val="0"/>
          <w:sz w:val="32"/>
          <w:szCs w:val="32"/>
        </w:rPr>
        <w:t>加快推进地铁</w:t>
      </w:r>
      <w:r>
        <w:rPr>
          <w:rFonts w:ascii="仿宋_GB2312" w:hAnsi="仿宋" w:eastAsia="仿宋_GB2312" w:cs="仿宋"/>
          <w:b w:val="0"/>
          <w:bCs w:val="0"/>
          <w:sz w:val="32"/>
          <w:szCs w:val="32"/>
        </w:rPr>
        <w:t>13号线A、B段</w:t>
      </w:r>
      <w:r>
        <w:rPr>
          <w:rFonts w:hint="eastAsia" w:ascii="仿宋_GB2312" w:hAnsi="仿宋" w:eastAsia="仿宋_GB2312" w:cs="仿宋"/>
          <w:b w:val="0"/>
          <w:bCs w:val="0"/>
          <w:sz w:val="32"/>
          <w:szCs w:val="32"/>
        </w:rPr>
        <w:t>建设</w:t>
      </w:r>
      <w:r>
        <w:rPr>
          <w:rFonts w:ascii="仿宋_GB2312" w:hAnsi="仿宋" w:eastAsia="仿宋_GB2312" w:cs="仿宋"/>
          <w:b w:val="0"/>
          <w:bCs w:val="0"/>
          <w:sz w:val="32"/>
          <w:szCs w:val="32"/>
        </w:rPr>
        <w:t>，力争12号线建成通车。</w:t>
      </w:r>
      <w:r>
        <w:rPr>
          <w:rFonts w:hint="eastAsia" w:ascii="仿宋_GB2312" w:hAnsi="仿宋" w:eastAsia="仿宋_GB2312" w:cs="仿宋"/>
          <w:b w:val="0"/>
          <w:bCs w:val="0"/>
          <w:sz w:val="32"/>
          <w:szCs w:val="32"/>
        </w:rPr>
        <w:t>（2）推进</w:t>
      </w:r>
      <w:r>
        <w:rPr>
          <w:rFonts w:hint="eastAsia" w:ascii="仿宋_GB2312" w:hAnsi="Calibri" w:eastAsia="仿宋_GB2312"/>
          <w:b w:val="0"/>
          <w:bCs w:val="0"/>
          <w:sz w:val="32"/>
          <w:szCs w:val="32"/>
        </w:rPr>
        <w:t>王庄路、田村东路等</w:t>
      </w:r>
      <w:r>
        <w:rPr>
          <w:rFonts w:hint="eastAsia" w:ascii="仿宋_GB2312" w:hAnsi="Calibri" w:eastAsia="仿宋_GB2312"/>
          <w:b w:val="0"/>
          <w:bCs w:val="0"/>
          <w:sz w:val="32"/>
          <w:szCs w:val="32"/>
          <w:lang w:val="en-US" w:eastAsia="zh-CN"/>
        </w:rPr>
        <w:t>12</w:t>
      </w:r>
      <w:r>
        <w:rPr>
          <w:rFonts w:hint="eastAsia" w:ascii="仿宋_GB2312" w:hAnsi="Calibri" w:eastAsia="仿宋_GB2312"/>
          <w:b w:val="0"/>
          <w:bCs w:val="0"/>
          <w:sz w:val="32"/>
          <w:szCs w:val="32"/>
        </w:rPr>
        <w:t>条代建道路移交接养</w:t>
      </w:r>
      <w:r>
        <w:rPr>
          <w:rFonts w:hint="eastAsia" w:ascii="仿宋_GB2312" w:hAnsi="仿宋" w:eastAsia="仿宋_GB2312" w:cs="仿宋"/>
          <w:b w:val="0"/>
          <w:bCs w:val="0"/>
          <w:sz w:val="32"/>
          <w:szCs w:val="32"/>
        </w:rPr>
        <w:t>，</w:t>
      </w:r>
      <w:r>
        <w:rPr>
          <w:rFonts w:hint="eastAsia" w:ascii="仿宋_GB2312" w:hAnsi="Calibri" w:eastAsia="仿宋_GB2312"/>
          <w:b w:val="0"/>
          <w:bCs w:val="0"/>
          <w:sz w:val="32"/>
          <w:szCs w:val="32"/>
        </w:rPr>
        <w:t>1.48公顷代征道路用地移交。</w:t>
      </w:r>
      <w:r>
        <w:rPr>
          <w:rFonts w:hint="eastAsia" w:ascii="仿宋_GB2312" w:hAnsi="仿宋" w:eastAsia="仿宋_GB2312" w:cs="仿宋"/>
          <w:b w:val="0"/>
          <w:bCs w:val="0"/>
          <w:sz w:val="32"/>
          <w:szCs w:val="32"/>
        </w:rPr>
        <w:t>加快推进上庄家园周边、八家东西线等道路开工建设，实现新增道路通车里程8公里。（3）打通上庄东路与玉河路路口、上庄东路与大牛坊一环路路口等断头路；开展志新西路、翠微路北段、大慧寺路等40万平方米区属道路大中修；完成5条无灯道路路灯补建任务。（4）推进潘庄、北大西门两个重点区域和“学医景商”周边交通综合治理，实施不少于15处交通组织优化工程。（5）稳步推进新改扩建道路安装交通科技设施工程，规范共享单车管理，加大慢行系统建设和治理力度，构建绿色安全智慧的交通出行体系。（6）</w:t>
      </w:r>
      <w:r>
        <w:rPr>
          <w:rFonts w:hint="eastAsia" w:ascii="仿宋_GB2312" w:hAnsi="仿宋_GB2312" w:eastAsia="仿宋_GB2312" w:cs="仿宋_GB2312"/>
          <w:b w:val="0"/>
          <w:bCs w:val="0"/>
          <w:sz w:val="32"/>
          <w:szCs w:val="32"/>
        </w:rPr>
        <w:t>推动街镇新增建设错时共享停车场，挖潜新增停车位</w:t>
      </w:r>
      <w:r>
        <w:rPr>
          <w:rFonts w:ascii="仿宋_GB2312" w:hAnsi="仿宋_GB2312" w:eastAsia="仿宋_GB2312" w:cs="仿宋_GB2312"/>
          <w:b w:val="0"/>
          <w:bCs w:val="0"/>
          <w:sz w:val="32"/>
          <w:szCs w:val="32"/>
          <w:lang w:val="en"/>
        </w:rPr>
        <w:t>5000</w:t>
      </w:r>
      <w:r>
        <w:rPr>
          <w:rFonts w:hint="eastAsia" w:ascii="仿宋_GB2312" w:hAnsi="仿宋_GB2312" w:eastAsia="仿宋_GB2312" w:cs="仿宋_GB2312"/>
          <w:b w:val="0"/>
          <w:bCs w:val="0"/>
          <w:sz w:val="32"/>
          <w:szCs w:val="32"/>
        </w:rPr>
        <w:t>个。</w:t>
      </w:r>
    </w:p>
    <w:p w14:paraId="029D6418">
      <w:pPr>
        <w:adjustRightInd w:val="0"/>
        <w:snapToGrid w:val="0"/>
        <w:spacing w:line="560" w:lineRule="exact"/>
        <w:ind w:firstLine="640" w:firstLineChars="200"/>
        <w:rPr>
          <w:rFonts w:hint="eastAsia" w:ascii="仿宋_GB2312" w:hAnsi="黑体" w:eastAsia="仿宋_GB2312"/>
          <w:b w:val="0"/>
          <w:bCs w:val="0"/>
          <w:sz w:val="32"/>
          <w:szCs w:val="32"/>
          <w:lang w:eastAsia="zh-CN"/>
        </w:rPr>
      </w:pPr>
      <w:r>
        <w:rPr>
          <w:rFonts w:hint="eastAsia" w:ascii="仿宋_GB2312" w:hAnsi="仿宋_GB2312" w:eastAsia="仿宋_GB2312" w:cs="仿宋_GB2312"/>
          <w:b w:val="0"/>
          <w:bCs w:val="0"/>
          <w:sz w:val="32"/>
          <w:szCs w:val="32"/>
        </w:rPr>
        <w:t>扎实开展疏整促专项行动。（1）聚焦清河之源、学院南路周边、西三旗重点大街沿线等重点区域，打造</w:t>
      </w:r>
      <w:r>
        <w:rPr>
          <w:rFonts w:hint="eastAsia" w:ascii="Calibri" w:hAnsi="Calibri" w:eastAsia="仿宋_GB2312"/>
          <w:b w:val="0"/>
          <w:bCs w:val="0"/>
          <w:sz w:val="32"/>
          <w:szCs w:val="32"/>
        </w:rPr>
        <w:t>彰显城市品质的片区综合治理亮点工程</w:t>
      </w:r>
      <w:r>
        <w:rPr>
          <w:rFonts w:hint="eastAsia" w:ascii="仿宋_GB2312" w:hAnsi="仿宋_GB2312" w:eastAsia="仿宋_GB2312" w:cs="仿宋_GB2312"/>
          <w:b w:val="0"/>
          <w:bCs w:val="0"/>
          <w:sz w:val="32"/>
          <w:szCs w:val="32"/>
        </w:rPr>
        <w:t>；开展50</w:t>
      </w:r>
      <w:r>
        <w:rPr>
          <w:rFonts w:hint="eastAsia" w:ascii="仿宋_GB2312" w:hAnsi="仿宋_GB2312" w:eastAsia="仿宋_GB2312" w:cs="仿宋_GB2312"/>
          <w:b w:val="0"/>
          <w:bCs w:val="0"/>
          <w:sz w:val="32"/>
          <w:szCs w:val="32"/>
          <w:lang w:val="en-US" w:eastAsia="zh-CN"/>
        </w:rPr>
        <w:t>处</w:t>
      </w:r>
      <w:r>
        <w:rPr>
          <w:rFonts w:hint="eastAsia" w:ascii="仿宋_GB2312" w:hAnsi="仿宋_GB2312" w:eastAsia="仿宋_GB2312" w:cs="仿宋_GB2312"/>
          <w:b w:val="0"/>
          <w:bCs w:val="0"/>
          <w:sz w:val="32"/>
          <w:szCs w:val="32"/>
        </w:rPr>
        <w:t>桥下空间整治工作。</w:t>
      </w:r>
      <w:r>
        <w:rPr>
          <w:rFonts w:hint="eastAsia" w:ascii="仿宋_GB2312" w:hAnsi="楷体" w:eastAsia="仿宋_GB2312" w:cs="仿宋"/>
          <w:b w:val="0"/>
          <w:bCs w:val="0"/>
          <w:sz w:val="32"/>
          <w:szCs w:val="32"/>
        </w:rPr>
        <w:t>（2）</w:t>
      </w:r>
      <w:r>
        <w:rPr>
          <w:rFonts w:hint="eastAsia" w:ascii="仿宋_GB2312" w:hAnsi="楷体" w:eastAsia="仿宋_GB2312" w:cs="仿宋"/>
          <w:b w:val="0"/>
          <w:bCs w:val="0"/>
          <w:sz w:val="32"/>
          <w:szCs w:val="32"/>
          <w:lang w:val="en"/>
        </w:rPr>
        <w:t>继续推动</w:t>
      </w:r>
      <w:r>
        <w:rPr>
          <w:rFonts w:hint="eastAsia" w:ascii="仿宋_GB2312" w:hAnsi="楷体" w:eastAsia="仿宋_GB2312" w:cs="仿宋"/>
          <w:b w:val="0"/>
          <w:bCs w:val="0"/>
          <w:sz w:val="32"/>
          <w:szCs w:val="32"/>
        </w:rPr>
        <w:t>非首都功能疏解，加快西门子、纵横机电等5家企业绿色化发展、数字化转型和智能化提升。</w:t>
      </w:r>
      <w:r>
        <w:rPr>
          <w:rFonts w:hint="eastAsia" w:ascii="仿宋_GB2312" w:hAnsi="仿宋_GB2312" w:eastAsia="仿宋_GB2312" w:cs="仿宋_GB2312"/>
          <w:b w:val="0"/>
          <w:bCs w:val="0"/>
          <w:sz w:val="32"/>
          <w:szCs w:val="32"/>
        </w:rPr>
        <w:t>（3）巩固“</w:t>
      </w:r>
      <w:r>
        <w:rPr>
          <w:rFonts w:hint="eastAsia" w:ascii="仿宋_GB2312" w:eastAsia="仿宋_GB2312"/>
          <w:b w:val="0"/>
          <w:bCs w:val="0"/>
          <w:sz w:val="32"/>
          <w:szCs w:val="32"/>
        </w:rPr>
        <w:t>基本无违法建设区</w:t>
      </w:r>
      <w:r>
        <w:rPr>
          <w:rFonts w:hint="eastAsia" w:ascii="仿宋_GB2312" w:hAnsi="仿宋_GB2312" w:eastAsia="仿宋_GB2312" w:cs="仿宋_GB2312"/>
          <w:b w:val="0"/>
          <w:bCs w:val="0"/>
          <w:sz w:val="32"/>
          <w:szCs w:val="32"/>
        </w:rPr>
        <w:t>”创建成果，</w:t>
      </w:r>
      <w:r>
        <w:rPr>
          <w:rFonts w:hint="eastAsia" w:ascii="仿宋_GB2312" w:eastAsia="仿宋_GB2312"/>
          <w:b w:val="0"/>
          <w:bCs w:val="0"/>
          <w:sz w:val="32"/>
          <w:szCs w:val="32"/>
        </w:rPr>
        <w:t>实现新生违法建设“零增长”</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完成既定拆除违法建设和土地腾退任务</w:t>
      </w:r>
      <w:r>
        <w:rPr>
          <w:rFonts w:hint="eastAsia" w:ascii="仿宋_GB2312" w:hAnsi="仿宋" w:eastAsia="仿宋_GB2312" w:cs="仿宋"/>
          <w:b w:val="0"/>
          <w:bCs w:val="0"/>
          <w:sz w:val="32"/>
          <w:szCs w:val="32"/>
        </w:rPr>
        <w:t>。</w:t>
      </w:r>
      <w:r>
        <w:rPr>
          <w:rFonts w:hint="eastAsia" w:eastAsia="仿宋_GB2312"/>
          <w:b w:val="0"/>
          <w:bCs w:val="0"/>
          <w:sz w:val="32"/>
          <w:szCs w:val="32"/>
        </w:rPr>
        <w:t>全年完成</w:t>
      </w:r>
      <w:r>
        <w:rPr>
          <w:rFonts w:hint="eastAsia" w:ascii="仿宋_GB2312" w:hAnsi="仿宋_GB2312" w:eastAsia="仿宋_GB2312" w:cs="仿宋_GB2312"/>
          <w:b w:val="0"/>
          <w:bCs w:val="0"/>
          <w:sz w:val="32"/>
          <w:szCs w:val="32"/>
        </w:rPr>
        <w:t>131</w:t>
      </w:r>
      <w:r>
        <w:rPr>
          <w:rFonts w:hint="eastAsia" w:eastAsia="仿宋_GB2312"/>
          <w:b w:val="0"/>
          <w:bCs w:val="0"/>
          <w:sz w:val="32"/>
          <w:szCs w:val="32"/>
        </w:rPr>
        <w:t>处围挡治理</w:t>
      </w:r>
      <w:r>
        <w:rPr>
          <w:rFonts w:hint="eastAsia" w:ascii="仿宋_GB2312" w:hAnsi="黑体" w:eastAsia="仿宋_GB2312"/>
          <w:b w:val="0"/>
          <w:bCs w:val="0"/>
          <w:sz w:val="32"/>
          <w:szCs w:val="32"/>
        </w:rPr>
        <w:t>。（4）加快推动一绿地区全面城市化，完成城乡建设用地减量</w:t>
      </w:r>
      <w:r>
        <w:rPr>
          <w:rFonts w:hint="eastAsia" w:ascii="仿宋_GB2312" w:hAnsi="黑体" w:eastAsia="仿宋_GB2312"/>
          <w:b w:val="0"/>
          <w:bCs w:val="0"/>
          <w:sz w:val="32"/>
          <w:szCs w:val="32"/>
          <w:lang w:val="en-US" w:eastAsia="zh-CN"/>
        </w:rPr>
        <w:t>8公顷</w:t>
      </w:r>
      <w:r>
        <w:rPr>
          <w:rFonts w:hint="eastAsia" w:ascii="仿宋_GB2312" w:hAnsi="黑体" w:eastAsia="仿宋_GB2312"/>
          <w:b w:val="0"/>
          <w:bCs w:val="0"/>
          <w:sz w:val="32"/>
          <w:szCs w:val="32"/>
        </w:rPr>
        <w:t>，实现一绿地区绿化12公顷。（5）抓好城乡结合部地区重点村社会治安、消防安全、出租房屋及人员密集场所、环境卫生等综合整治</w:t>
      </w:r>
      <w:r>
        <w:rPr>
          <w:rFonts w:hint="eastAsia" w:ascii="仿宋_GB2312" w:hAnsi="仿宋_GB2312" w:eastAsia="仿宋_GB2312" w:cs="仿宋_GB2312"/>
          <w:b w:val="0"/>
          <w:bCs w:val="0"/>
          <w:sz w:val="32"/>
          <w:szCs w:val="32"/>
        </w:rPr>
        <w:t>；在保留村范围内试点推广房屋组织化经营和物业社会化管理，推动形成美丽乡村建设亮点案例。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）完成102.09公顷苫盖地块绿网揭除、多元见绿，</w:t>
      </w:r>
      <w:r>
        <w:rPr>
          <w:rFonts w:hint="eastAsia" w:ascii="仿宋_GB2312" w:hAnsi="仿宋_GB2312" w:eastAsia="仿宋_GB2312" w:cs="仿宋_GB2312"/>
          <w:b w:val="0"/>
          <w:bCs w:val="0"/>
          <w:sz w:val="32"/>
          <w:szCs w:val="32"/>
        </w:rPr>
        <w:t>实施留白增绿、绿化美化5.75公顷</w:t>
      </w:r>
      <w:r>
        <w:rPr>
          <w:rFonts w:hint="eastAsia" w:ascii="仿宋_GB2312" w:hAnsi="仿宋_GB2312" w:eastAsia="仿宋_GB2312" w:cs="仿宋_GB2312"/>
          <w:b w:val="0"/>
          <w:bCs w:val="0"/>
          <w:sz w:val="32"/>
          <w:szCs w:val="32"/>
          <w:lang w:eastAsia="zh-CN"/>
        </w:rPr>
        <w:t>。</w:t>
      </w:r>
    </w:p>
    <w:p w14:paraId="11DD6EA9">
      <w:pPr>
        <w:adjustRightInd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kern w:val="0"/>
          <w:sz w:val="32"/>
          <w:szCs w:val="32"/>
          <w:lang w:bidi="en-US"/>
        </w:rPr>
        <w:t>全力打造“两山”理论实践样板。</w:t>
      </w:r>
      <w:r>
        <w:rPr>
          <w:rFonts w:hint="eastAsia" w:ascii="仿宋_GB2312" w:eastAsia="仿宋_GB2312"/>
          <w:b w:val="0"/>
          <w:bCs w:val="0"/>
          <w:kern w:val="0"/>
          <w:sz w:val="32"/>
          <w:szCs w:val="32"/>
        </w:rPr>
        <w:t>（1）</w:t>
      </w:r>
      <w:r>
        <w:rPr>
          <w:rFonts w:hint="eastAsia" w:ascii="仿宋_GB2312" w:hAnsi="仿宋_GB2312" w:eastAsia="仿宋_GB2312" w:cs="仿宋_GB2312"/>
          <w:b w:val="0"/>
          <w:bCs w:val="0"/>
          <w:kern w:val="0"/>
          <w:sz w:val="32"/>
          <w:szCs w:val="32"/>
        </w:rPr>
        <w:t>有序推进绿色低碳节能发展，碳排放总量得到有效控制，碳排放强度、单位地区生产总值能耗降幅达到市级考核要求。（2）</w:t>
      </w:r>
      <w:r>
        <w:rPr>
          <w:rFonts w:hint="eastAsia" w:ascii="仿宋_GB2312" w:eastAsia="仿宋_GB2312"/>
          <w:b w:val="0"/>
          <w:bCs w:val="0"/>
          <w:sz w:val="32"/>
          <w:szCs w:val="32"/>
        </w:rPr>
        <w:t>持续深化“一微克”行动，坚持</w:t>
      </w:r>
      <w:r>
        <w:rPr>
          <w:rFonts w:ascii="仿宋_GB2312" w:hAnsi="仿宋_GB2312" w:eastAsia="仿宋_GB2312" w:cs="仿宋_GB2312"/>
          <w:b w:val="0"/>
          <w:bCs w:val="0"/>
          <w:kern w:val="0"/>
          <w:sz w:val="32"/>
          <w:szCs w:val="32"/>
        </w:rPr>
        <w:t>PM</w:t>
      </w:r>
      <w:r>
        <w:rPr>
          <w:rFonts w:ascii="仿宋_GB2312" w:hAnsi="仿宋_GB2312" w:eastAsia="仿宋_GB2312" w:cs="仿宋_GB2312"/>
          <w:b w:val="0"/>
          <w:bCs w:val="0"/>
          <w:kern w:val="0"/>
          <w:sz w:val="32"/>
          <w:szCs w:val="32"/>
          <w:vertAlign w:val="subscript"/>
        </w:rPr>
        <w:t>2.5</w:t>
      </w:r>
      <w:r>
        <w:rPr>
          <w:rFonts w:hint="eastAsia" w:ascii="仿宋_GB2312" w:hAnsi="仿宋_GB2312" w:eastAsia="仿宋_GB2312" w:cs="仿宋_GB2312"/>
          <w:b w:val="0"/>
          <w:bCs w:val="0"/>
          <w:kern w:val="0"/>
          <w:sz w:val="32"/>
          <w:szCs w:val="32"/>
        </w:rPr>
        <w:t>和臭氧协同控制，加强氮氧化物、挥发性有机物、扬尘等重点领域治理</w:t>
      </w:r>
      <w:r>
        <w:rPr>
          <w:rFonts w:hint="eastAsia" w:ascii="仿宋_GB2312" w:eastAsia="仿宋_GB2312"/>
          <w:b w:val="0"/>
          <w:bCs w:val="0"/>
          <w:kern w:val="0"/>
          <w:sz w:val="32"/>
          <w:szCs w:val="32"/>
        </w:rPr>
        <w:t>。（3）</w:t>
      </w:r>
      <w:r>
        <w:rPr>
          <w:rFonts w:hint="eastAsia" w:ascii="仿宋_GB2312" w:hAnsi="仿宋_GB2312" w:eastAsia="仿宋_GB2312" w:cs="仿宋_GB2312"/>
          <w:b w:val="0"/>
          <w:bCs w:val="0"/>
          <w:sz w:val="32"/>
          <w:szCs w:val="32"/>
        </w:rPr>
        <w:t>继续推进</w:t>
      </w:r>
      <w:r>
        <w:rPr>
          <w:rFonts w:hint="eastAsia" w:ascii="仿宋_GB2312" w:eastAsia="仿宋_GB2312"/>
          <w:b w:val="0"/>
          <w:bCs w:val="0"/>
          <w:sz w:val="32"/>
          <w:szCs w:val="32"/>
        </w:rPr>
        <w:t>“水清岸绿计划”，统筹布局和推进</w:t>
      </w:r>
      <w:r>
        <w:rPr>
          <w:rFonts w:hint="eastAsia" w:ascii="仿宋_GB2312" w:hAnsi="仿宋_GB2312" w:eastAsia="仿宋_GB2312" w:cs="仿宋_GB2312"/>
          <w:b w:val="0"/>
          <w:bCs w:val="0"/>
          <w:sz w:val="32"/>
          <w:szCs w:val="32"/>
        </w:rPr>
        <w:t>周家巷沟（创新园段）、</w:t>
      </w:r>
      <w:r>
        <w:rPr>
          <w:rFonts w:hint="eastAsia" w:ascii="仿宋_GB2312" w:hAnsi="Calibri" w:eastAsia="仿宋_GB2312"/>
          <w:b w:val="0"/>
          <w:bCs w:val="0"/>
          <w:kern w:val="0"/>
          <w:sz w:val="32"/>
          <w:szCs w:val="32"/>
        </w:rPr>
        <w:t>上庄片区补水及循环工程、</w:t>
      </w:r>
      <w:r>
        <w:rPr>
          <w:rFonts w:hint="eastAsia" w:ascii="仿宋_GB2312" w:hAnsi="Calibri" w:eastAsia="仿宋_GB2312"/>
          <w:b w:val="0"/>
          <w:bCs w:val="0"/>
          <w:sz w:val="32"/>
          <w:szCs w:val="32"/>
        </w:rPr>
        <w:t>玉河雨水湿地公园等</w:t>
      </w:r>
      <w:r>
        <w:rPr>
          <w:rFonts w:hint="eastAsia" w:ascii="仿宋_GB2312" w:eastAsia="仿宋_GB2312"/>
          <w:b w:val="0"/>
          <w:bCs w:val="0"/>
          <w:sz w:val="32"/>
          <w:szCs w:val="32"/>
        </w:rPr>
        <w:t>一批重点项目</w:t>
      </w:r>
      <w:r>
        <w:rPr>
          <w:rFonts w:hint="eastAsia" w:ascii="仿宋_GB2312" w:hAnsi="Calibri" w:eastAsia="仿宋_GB2312"/>
          <w:b w:val="0"/>
          <w:bCs w:val="0"/>
          <w:sz w:val="32"/>
          <w:szCs w:val="32"/>
        </w:rPr>
        <w:t>。</w:t>
      </w:r>
      <w:r>
        <w:rPr>
          <w:rFonts w:hint="eastAsia" w:ascii="仿宋_GB2312" w:eastAsia="仿宋_GB2312"/>
          <w:b w:val="0"/>
          <w:bCs w:val="0"/>
          <w:sz w:val="32"/>
          <w:szCs w:val="32"/>
        </w:rPr>
        <w:t>全面消除黑臭水体，</w:t>
      </w:r>
      <w:r>
        <w:rPr>
          <w:rFonts w:hint="eastAsia" w:ascii="仿宋_GB2312" w:hAnsi="宋体" w:eastAsia="仿宋_GB2312"/>
          <w:b w:val="0"/>
          <w:bCs w:val="0"/>
          <w:kern w:val="0"/>
          <w:sz w:val="32"/>
          <w:szCs w:val="32"/>
        </w:rPr>
        <w:t>实现地下水水质总体稳定、地表水质持续改善、集中式饮用水水源地水质稳定达标。</w:t>
      </w:r>
      <w:r>
        <w:rPr>
          <w:rFonts w:hint="eastAsia" w:ascii="仿宋_GB2312" w:hAnsi="仿宋_GB2312" w:eastAsia="仿宋_GB2312" w:cs="仿宋_GB2312"/>
          <w:b w:val="0"/>
          <w:bCs w:val="0"/>
          <w:sz w:val="32"/>
          <w:szCs w:val="32"/>
        </w:rPr>
        <w:t>实施14</w:t>
      </w:r>
      <w:r>
        <w:rPr>
          <w:rFonts w:ascii="仿宋_GB2312" w:hAnsi="仿宋_GB2312" w:eastAsia="仿宋_GB2312" w:cs="仿宋_GB2312"/>
          <w:b w:val="0"/>
          <w:bCs w:val="0"/>
          <w:sz w:val="32"/>
          <w:szCs w:val="32"/>
        </w:rPr>
        <w:t>个小区海绵城市</w:t>
      </w:r>
      <w:r>
        <w:rPr>
          <w:rFonts w:hint="eastAsia" w:ascii="仿宋_GB2312" w:hAnsi="Calibri" w:eastAsia="仿宋_GB2312"/>
          <w:b w:val="0"/>
          <w:bCs w:val="0"/>
          <w:sz w:val="32"/>
          <w:szCs w:val="32"/>
        </w:rPr>
        <w:t>改造工程</w:t>
      </w:r>
      <w:r>
        <w:rPr>
          <w:rFonts w:hint="eastAsia" w:ascii="仿宋_GB2312" w:hAnsi="仿宋_GB2312" w:eastAsia="仿宋_GB2312" w:cs="仿宋_GB2312"/>
          <w:b w:val="0"/>
          <w:bCs w:val="0"/>
          <w:sz w:val="32"/>
          <w:szCs w:val="32"/>
        </w:rPr>
        <w:t>。</w:t>
      </w:r>
      <w:r>
        <w:rPr>
          <w:rFonts w:hint="eastAsia" w:ascii="仿宋_GB2312" w:eastAsia="仿宋_GB2312"/>
          <w:b w:val="0"/>
          <w:bCs w:val="0"/>
          <w:kern w:val="0"/>
          <w:sz w:val="32"/>
          <w:szCs w:val="32"/>
        </w:rPr>
        <w:t>（4）</w:t>
      </w:r>
      <w:r>
        <w:rPr>
          <w:rFonts w:hint="eastAsia" w:ascii="仿宋_GB2312" w:hAnsi="仿宋_GB2312" w:eastAsia="仿宋_GB2312" w:cs="仿宋_GB2312"/>
          <w:b w:val="0"/>
          <w:bCs w:val="0"/>
          <w:sz w:val="32"/>
          <w:szCs w:val="32"/>
        </w:rPr>
        <w:t>强化“两线三区”全域管控、“三线一单”分区管控，</w:t>
      </w:r>
      <w:r>
        <w:rPr>
          <w:rFonts w:hint="eastAsia" w:ascii="仿宋_GB2312" w:eastAsia="仿宋_GB2312"/>
          <w:b w:val="0"/>
          <w:bCs w:val="0"/>
          <w:sz w:val="32"/>
          <w:szCs w:val="32"/>
        </w:rPr>
        <w:t>坚守</w:t>
      </w:r>
      <w:r>
        <w:rPr>
          <w:rFonts w:ascii="仿宋_GB2312" w:eastAsia="仿宋_GB2312"/>
          <w:b w:val="0"/>
          <w:bCs w:val="0"/>
          <w:sz w:val="32"/>
          <w:szCs w:val="32"/>
        </w:rPr>
        <w:t>1.5万亩耕地保护空间</w:t>
      </w:r>
      <w:r>
        <w:rPr>
          <w:rFonts w:hint="eastAsia" w:ascii="仿宋_GB2312" w:eastAsia="仿宋_GB2312"/>
          <w:b w:val="0"/>
          <w:bCs w:val="0"/>
          <w:sz w:val="32"/>
          <w:szCs w:val="32"/>
        </w:rPr>
        <w:t>；</w:t>
      </w:r>
      <w:r>
        <w:rPr>
          <w:rFonts w:hint="eastAsia" w:ascii="仿宋_GB2312" w:hAnsi="仿宋_GB2312" w:eastAsia="仿宋_GB2312" w:cs="仿宋_GB2312"/>
          <w:b w:val="0"/>
          <w:bCs w:val="0"/>
          <w:sz w:val="32"/>
          <w:szCs w:val="32"/>
        </w:rPr>
        <w:t>确保土壤污染风险得到有效管控、受污染耕地及重点建设用地安全利用。</w:t>
      </w:r>
      <w:r>
        <w:rPr>
          <w:rFonts w:hint="eastAsia" w:ascii="仿宋_GB2312" w:eastAsia="仿宋_GB2312"/>
          <w:b w:val="0"/>
          <w:bCs w:val="0"/>
          <w:kern w:val="0"/>
          <w:sz w:val="32"/>
          <w:szCs w:val="32"/>
        </w:rPr>
        <w:t>（5）</w:t>
      </w:r>
      <w:r>
        <w:rPr>
          <w:rFonts w:hint="eastAsia" w:ascii="仿宋_GB2312" w:eastAsia="仿宋_GB2312"/>
          <w:b w:val="0"/>
          <w:bCs w:val="0"/>
          <w:sz w:val="32"/>
          <w:szCs w:val="32"/>
        </w:rPr>
        <w:t>高水平打造城市绿色基底。实施上地等重点区域绿廊贯通，打通绿地断点；开展西钓鱼台代征绿地等7处城区公园和永靓家园南侧等12处小微绿地建设；实施中央党校西侧、三山五园艺术中心周边等</w:t>
      </w:r>
      <w:r>
        <w:rPr>
          <w:rFonts w:ascii="仿宋_GB2312" w:eastAsia="仿宋_GB2312"/>
          <w:b w:val="0"/>
          <w:bCs w:val="0"/>
          <w:sz w:val="32"/>
          <w:szCs w:val="32"/>
        </w:rPr>
        <w:t>6</w:t>
      </w:r>
      <w:r>
        <w:rPr>
          <w:rFonts w:hint="eastAsia" w:ascii="仿宋_GB2312" w:eastAsia="仿宋_GB2312"/>
          <w:b w:val="0"/>
          <w:bCs w:val="0"/>
          <w:sz w:val="32"/>
          <w:szCs w:val="32"/>
        </w:rPr>
        <w:t>处“三山五园”重点区域绿化建设。（6）深入开展生物多样性保护，强化湿地资源监管</w:t>
      </w:r>
      <w:r>
        <w:rPr>
          <w:rFonts w:hint="eastAsia" w:ascii="仿宋_GB2312" w:hAnsi="仿宋_GB2312" w:eastAsia="仿宋_GB2312" w:cs="仿宋_GB2312"/>
          <w:b w:val="0"/>
          <w:bCs w:val="0"/>
          <w:sz w:val="32"/>
          <w:szCs w:val="32"/>
        </w:rPr>
        <w:t>。全面实施“林长制”。建设国家森林城市。</w:t>
      </w:r>
    </w:p>
    <w:p w14:paraId="4AD97732">
      <w:pPr>
        <w:adjustRightInd w:val="0"/>
        <w:snapToGrid w:val="0"/>
        <w:spacing w:line="560" w:lineRule="exact"/>
        <w:ind w:firstLine="640" w:firstLineChars="200"/>
        <w:rPr>
          <w:rFonts w:ascii="楷体_GB2312" w:eastAsia="楷体_GB2312"/>
          <w:b w:val="0"/>
          <w:bCs w:val="0"/>
          <w:sz w:val="32"/>
          <w:szCs w:val="32"/>
        </w:rPr>
      </w:pPr>
      <w:r>
        <w:rPr>
          <w:rFonts w:hint="eastAsia" w:ascii="楷体_GB2312" w:eastAsia="楷体_GB2312"/>
          <w:b w:val="0"/>
          <w:bCs w:val="0"/>
          <w:sz w:val="32"/>
          <w:szCs w:val="32"/>
        </w:rPr>
        <w:t>（四）推动重点领域改革，努力打造高水平开放示范区</w:t>
      </w:r>
    </w:p>
    <w:p w14:paraId="4E2A43A0">
      <w:pPr>
        <w:adjustRightInd w:val="0"/>
        <w:snapToGrid w:val="0"/>
        <w:spacing w:line="560" w:lineRule="exact"/>
        <w:ind w:firstLine="640" w:firstLineChars="200"/>
        <w:rPr>
          <w:rFonts w:ascii="仿宋_GB2312" w:hAnsi="仿宋" w:eastAsia="仿宋_GB2312"/>
          <w:b w:val="0"/>
          <w:bCs w:val="0"/>
          <w:sz w:val="32"/>
          <w:szCs w:val="32"/>
        </w:rPr>
      </w:pPr>
      <w:r>
        <w:rPr>
          <w:rFonts w:hint="eastAsia" w:ascii="仿宋_GB2312" w:hAnsi="仿宋_GB2312" w:eastAsia="仿宋_GB2312" w:cs="仿宋_GB2312"/>
          <w:b w:val="0"/>
          <w:bCs w:val="0"/>
          <w:sz w:val="32"/>
          <w:szCs w:val="32"/>
        </w:rPr>
        <w:t>推动“两区”建设走深走实。（</w:t>
      </w: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抓好</w:t>
      </w:r>
      <w:r>
        <w:rPr>
          <w:rFonts w:hint="eastAsia" w:ascii="仿宋_GB2312" w:eastAsia="仿宋_GB2312"/>
          <w:b w:val="0"/>
          <w:bCs w:val="0"/>
          <w:sz w:val="32"/>
          <w:szCs w:val="32"/>
        </w:rPr>
        <w:t>“两区”建设2.0方案和海淀组团发展三年行动方案</w:t>
      </w:r>
      <w:r>
        <w:rPr>
          <w:rFonts w:hint="eastAsia" w:ascii="仿宋_GB2312" w:hAnsi="仿宋_GB2312" w:eastAsia="仿宋_GB2312" w:cs="仿宋_GB2312"/>
          <w:b w:val="0"/>
          <w:bCs w:val="0"/>
          <w:sz w:val="32"/>
          <w:szCs w:val="32"/>
        </w:rPr>
        <w:t>落地，力争实现突破一批政策、建成一批场景、落地一批项目。聚焦核心要素和重点产业，持续开展调研和“自贸会客厅”主题活动，打通政策堵点和应用场景。（2）</w:t>
      </w:r>
      <w:r>
        <w:rPr>
          <w:rFonts w:hint="eastAsia" w:ascii="仿宋_GB2312" w:hAnsi="宋体" w:eastAsia="仿宋_GB2312" w:cs="宋体"/>
          <w:b w:val="0"/>
          <w:bCs w:val="0"/>
          <w:kern w:val="0"/>
          <w:sz w:val="32"/>
          <w:szCs w:val="32"/>
        </w:rPr>
        <w:t>加快建设以研发创新为特色的中关村综保区</w:t>
      </w:r>
      <w:r>
        <w:rPr>
          <w:rFonts w:ascii="仿宋_GB2312" w:hAnsi="仿宋_GB2312" w:eastAsia="仿宋_GB2312" w:cs="仿宋_GB2312"/>
          <w:b w:val="0"/>
          <w:bCs w:val="0"/>
          <w:sz w:val="32"/>
          <w:szCs w:val="32"/>
        </w:rPr>
        <w:t>，探索自贸试验区与海关特殊监管区域的联动创新。（3）加快组建海淀“两区”建设和中关村综合保税区运营公司，完善市场化运作机制，推进“两区”建设提质提效。</w:t>
      </w:r>
      <w:r>
        <w:rPr>
          <w:rFonts w:hint="eastAsia" w:ascii="仿宋_GB2312" w:hAnsi="仿宋_GB2312" w:eastAsia="仿宋_GB2312" w:cs="仿宋_GB2312"/>
          <w:b w:val="0"/>
          <w:bCs w:val="0"/>
          <w:sz w:val="32"/>
          <w:szCs w:val="32"/>
        </w:rPr>
        <w:t>（4）建成投用中关村论坛永久会址，高水平筹办2023中关村论坛，打造具有全球影响力的功能性平台。</w:t>
      </w:r>
    </w:p>
    <w:p w14:paraId="799C5417">
      <w:pPr>
        <w:adjustRightInd w:val="0"/>
        <w:snapToGrid w:val="0"/>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纵深推进区域协同战略。（1）引导科技服务平台与未来科学城、怀柔科学城、顺义区等，开展科技成果转化、楼宇招商运营、服务平台搭建等合作；</w:t>
      </w:r>
      <w:r>
        <w:rPr>
          <w:rFonts w:ascii="仿宋_GB2312" w:hAnsi="仿宋_GB2312" w:eastAsia="仿宋_GB2312" w:cs="仿宋_GB2312"/>
          <w:b w:val="0"/>
          <w:bCs w:val="0"/>
          <w:sz w:val="32"/>
          <w:szCs w:val="32"/>
        </w:rPr>
        <w:t>推荐元宇宙、数字经济等领域企业参与城市副中心应用场景建设</w:t>
      </w:r>
      <w:r>
        <w:rPr>
          <w:rFonts w:hint="eastAsia" w:ascii="仿宋_GB2312" w:hAnsi="仿宋_GB2312" w:eastAsia="仿宋_GB2312" w:cs="仿宋_GB2312"/>
          <w:b w:val="0"/>
          <w:bCs w:val="0"/>
          <w:sz w:val="32"/>
          <w:szCs w:val="32"/>
        </w:rPr>
        <w:t>；加强与首钢地区、延庆、平谷等地人才交流和产业协作。（2）支持利亚德、东华软件等行业龙头企业与雄安新区深度对接；引导大北农、九州生物等农业科技企业在环首都经济圈产业布局；引导区内优质教育医疗资源向外辐射输出</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（3）</w:t>
      </w:r>
      <w:r>
        <w:rPr>
          <w:rFonts w:hint="eastAsia" w:ascii="仿宋_GB2312" w:hAnsi="仿宋" w:eastAsia="仿宋_GB2312"/>
          <w:b w:val="0"/>
          <w:bCs w:val="0"/>
          <w:sz w:val="32"/>
          <w:szCs w:val="32"/>
        </w:rPr>
        <w:t>巩固扶贫攻坚成果，对</w:t>
      </w:r>
      <w:r>
        <w:rPr>
          <w:rFonts w:hint="eastAsia" w:ascii="仿宋_GB2312" w:eastAsia="仿宋_GB2312"/>
          <w:b w:val="0"/>
          <w:bCs w:val="0"/>
          <w:sz w:val="32"/>
          <w:szCs w:val="32"/>
        </w:rPr>
        <w:t>内蒙古赤峰市科右前旗等</w:t>
      </w:r>
      <w:r>
        <w:rPr>
          <w:rFonts w:ascii="仿宋_GB2312" w:eastAsia="仿宋_GB2312"/>
          <w:b w:val="0"/>
          <w:bCs w:val="0"/>
          <w:sz w:val="32"/>
          <w:szCs w:val="32"/>
        </w:rPr>
        <w:t>6个结对地区持续开展</w:t>
      </w:r>
      <w:r>
        <w:rPr>
          <w:rFonts w:hint="eastAsia" w:ascii="仿宋_GB2312" w:hAnsi="仿宋_GB2312" w:eastAsia="仿宋_GB2312" w:cs="仿宋_GB2312"/>
          <w:b w:val="0"/>
          <w:bCs w:val="0"/>
          <w:sz w:val="32"/>
          <w:szCs w:val="32"/>
        </w:rPr>
        <w:t>人才支援、产业合作、消费帮扶、劳务协作，确保力度不减、标准不降。</w:t>
      </w:r>
    </w:p>
    <w:p w14:paraId="450FA961">
      <w:pPr>
        <w:adjustRightInd w:val="0"/>
        <w:snapToGrid w:val="0"/>
        <w:spacing w:line="560" w:lineRule="exact"/>
        <w:ind w:firstLine="640" w:firstLineChars="200"/>
        <w:rPr>
          <w:rFonts w:ascii="仿宋_GB2312" w:hAnsi="仿宋" w:eastAsia="仿宋_GB2312"/>
          <w:b w:val="0"/>
          <w:bCs w:val="0"/>
          <w:sz w:val="32"/>
          <w:szCs w:val="32"/>
        </w:rPr>
      </w:pPr>
      <w:r>
        <w:rPr>
          <w:rFonts w:hint="eastAsia" w:ascii="仿宋_GB2312" w:hAnsi="仿宋" w:eastAsia="仿宋_GB2312"/>
          <w:b w:val="0"/>
          <w:bCs w:val="0"/>
          <w:sz w:val="32"/>
          <w:szCs w:val="32"/>
        </w:rPr>
        <w:t>持续优化营商环境。（</w:t>
      </w:r>
      <w:r>
        <w:rPr>
          <w:rFonts w:ascii="仿宋_GB2312" w:hAnsi="仿宋" w:eastAsia="仿宋_GB2312"/>
          <w:b w:val="0"/>
          <w:bCs w:val="0"/>
          <w:sz w:val="32"/>
          <w:szCs w:val="32"/>
        </w:rPr>
        <w:t>1</w:t>
      </w:r>
      <w:r>
        <w:rPr>
          <w:rFonts w:hint="eastAsia" w:ascii="仿宋_GB2312" w:hAnsi="仿宋" w:eastAsia="仿宋_GB2312"/>
          <w:b w:val="0"/>
          <w:bCs w:val="0"/>
          <w:sz w:val="32"/>
          <w:szCs w:val="32"/>
        </w:rPr>
        <w:t>）推动市区数据共治共享对接，推进实现政务服务数据和社会数据有机融合；探索拓展政务服务领域“长安链”应用；增加个人和企业高频事项跨省通办数量。（2）深化自贸区“确认制”登记改革，全面落实“多证合一”，提升企业开办“一网通办”服务效能。（</w:t>
      </w:r>
      <w:r>
        <w:rPr>
          <w:rFonts w:ascii="仿宋_GB2312" w:hAnsi="仿宋" w:eastAsia="仿宋_GB2312"/>
          <w:b w:val="0"/>
          <w:bCs w:val="0"/>
          <w:sz w:val="32"/>
          <w:szCs w:val="32"/>
        </w:rPr>
        <w:t>3）</w:t>
      </w:r>
      <w:r>
        <w:rPr>
          <w:rFonts w:hint="eastAsia" w:ascii="仿宋_GB2312" w:hAnsi="仿宋" w:eastAsia="仿宋_GB2312"/>
          <w:b w:val="0"/>
          <w:bCs w:val="0"/>
          <w:sz w:val="32"/>
          <w:szCs w:val="32"/>
        </w:rPr>
        <w:t>加强电子证照在网上办事和线下政务服务中的应用，精简线下窗口办事材料。（</w:t>
      </w:r>
      <w:r>
        <w:rPr>
          <w:rFonts w:ascii="仿宋_GB2312" w:hAnsi="仿宋" w:eastAsia="仿宋_GB2312"/>
          <w:b w:val="0"/>
          <w:bCs w:val="0"/>
          <w:sz w:val="32"/>
          <w:szCs w:val="32"/>
        </w:rPr>
        <w:t>4</w:t>
      </w:r>
      <w:r>
        <w:rPr>
          <w:rFonts w:hint="eastAsia" w:ascii="仿宋_GB2312" w:hAnsi="仿宋" w:eastAsia="仿宋_GB2312"/>
          <w:b w:val="0"/>
          <w:bCs w:val="0"/>
          <w:sz w:val="32"/>
          <w:szCs w:val="32"/>
        </w:rPr>
        <w:t>）</w:t>
      </w:r>
      <w:r>
        <w:rPr>
          <w:rFonts w:hint="eastAsia" w:ascii="仿宋_GB2312" w:eastAsia="仿宋_GB2312"/>
          <w:b w:val="0"/>
          <w:bCs w:val="0"/>
          <w:sz w:val="32"/>
          <w:szCs w:val="32"/>
        </w:rPr>
        <w:t>着力构建企业“全链条全生命周期”服务体系，畅通</w:t>
      </w:r>
      <w:r>
        <w:rPr>
          <w:rFonts w:hint="eastAsia" w:ascii="仿宋_GB2312" w:eastAsia="仿宋_GB2312"/>
          <w:b w:val="0"/>
          <w:bCs w:val="0"/>
          <w:sz w:val="32"/>
          <w:szCs w:val="32"/>
          <w:lang w:bidi="ar"/>
        </w:rPr>
        <w:t>涉企政策制定充分征求</w:t>
      </w:r>
      <w:r>
        <w:rPr>
          <w:rFonts w:hint="eastAsia" w:ascii="仿宋_GB2312" w:eastAsia="仿宋_GB2312"/>
          <w:b w:val="0"/>
          <w:bCs w:val="0"/>
          <w:sz w:val="32"/>
          <w:szCs w:val="32"/>
        </w:rPr>
        <w:t>企业家意见渠道，夯实“服务包”工作机制，增强企业驻区发展粘性。建设企业上市发展基地，助力15家左右企业上市融</w:t>
      </w:r>
      <w:r>
        <w:rPr>
          <w:rFonts w:hint="eastAsia" w:ascii="仿宋_GB2312" w:eastAsia="仿宋_GB2312"/>
          <w:b w:val="0"/>
          <w:bCs w:val="0"/>
          <w:spacing w:val="-6"/>
          <w:sz w:val="32"/>
          <w:szCs w:val="32"/>
        </w:rPr>
        <w:t>资</w:t>
      </w:r>
      <w:r>
        <w:rPr>
          <w:rFonts w:hint="eastAsia" w:ascii="仿宋_GB2312" w:hAnsi="仿宋" w:eastAsia="仿宋_GB2312"/>
          <w:b w:val="0"/>
          <w:bCs w:val="0"/>
          <w:spacing w:val="-6"/>
          <w:sz w:val="32"/>
          <w:szCs w:val="32"/>
        </w:rPr>
        <w:t>。</w:t>
      </w:r>
      <w:r>
        <w:rPr>
          <w:rFonts w:hint="eastAsia" w:ascii="仿宋_GB2312" w:hAnsi="仿宋_GB2312" w:eastAsia="仿宋_GB2312" w:cs="仿宋_GB2312"/>
          <w:b w:val="0"/>
          <w:bCs w:val="0"/>
          <w:spacing w:val="-6"/>
          <w:sz w:val="32"/>
          <w:szCs w:val="32"/>
        </w:rPr>
        <w:t>（5）</w:t>
      </w:r>
      <w:r>
        <w:rPr>
          <w:rFonts w:hint="eastAsia" w:ascii="仿宋_GB2312" w:hAnsi="宋体" w:eastAsia="仿宋_GB2312"/>
          <w:b w:val="0"/>
          <w:bCs w:val="0"/>
          <w:spacing w:val="-6"/>
          <w:sz w:val="32"/>
          <w:szCs w:val="32"/>
        </w:rPr>
        <w:t>做好第五次全国经济普查；开展“十四五”规划中期评估。</w:t>
      </w:r>
    </w:p>
    <w:p w14:paraId="2B4FFBB7">
      <w:pPr>
        <w:widowControl/>
        <w:spacing w:line="560" w:lineRule="exact"/>
        <w:ind w:firstLine="640" w:firstLineChars="200"/>
        <w:rPr>
          <w:rFonts w:ascii="楷体_GB2312" w:eastAsia="仿宋_GB2312"/>
          <w:b w:val="0"/>
          <w:bCs w:val="0"/>
          <w:sz w:val="32"/>
          <w:szCs w:val="32"/>
        </w:rPr>
      </w:pPr>
      <w:r>
        <w:rPr>
          <w:rFonts w:hint="eastAsia" w:ascii="仿宋_GB2312" w:hAnsi="仿宋" w:eastAsia="仿宋_GB2312"/>
          <w:b w:val="0"/>
          <w:bCs w:val="0"/>
          <w:sz w:val="32"/>
          <w:szCs w:val="32"/>
        </w:rPr>
        <w:t>持续深化重点领域改革。（</w:t>
      </w:r>
      <w:r>
        <w:rPr>
          <w:rFonts w:ascii="仿宋_GB2312" w:hAnsi="仿宋" w:eastAsia="仿宋_GB2312"/>
          <w:b w:val="0"/>
          <w:bCs w:val="0"/>
          <w:sz w:val="32"/>
          <w:szCs w:val="32"/>
        </w:rPr>
        <w:t>1）</w:t>
      </w:r>
      <w:r>
        <w:rPr>
          <w:rFonts w:hint="eastAsia" w:ascii="仿宋_GB2312" w:hAnsi="仿宋" w:eastAsia="仿宋_GB2312"/>
          <w:b w:val="0"/>
          <w:bCs w:val="0"/>
          <w:sz w:val="32"/>
          <w:szCs w:val="32"/>
        </w:rPr>
        <w:t>深化国资国企改革，做强做优一级开发平台、产业空间平台、股权投资平台和城市服务平台，切实提升企业盈利能力和资产质量。健全中国特色现代企业制度，深化董事会建设，提升国有企业核心竞争力和</w:t>
      </w:r>
      <w:r>
        <w:rPr>
          <w:rFonts w:hint="eastAsia" w:ascii="仿宋_GB2312" w:eastAsia="仿宋_GB2312"/>
          <w:b w:val="0"/>
          <w:bCs w:val="0"/>
          <w:sz w:val="32"/>
          <w:szCs w:val="32"/>
        </w:rPr>
        <w:t>服务区域发展能力。（2）</w:t>
      </w:r>
      <w:r>
        <w:rPr>
          <w:rFonts w:hint="eastAsia" w:ascii="仿宋_GB2312" w:hAnsi="仿宋" w:eastAsia="仿宋_GB2312"/>
          <w:b w:val="0"/>
          <w:bCs w:val="0"/>
          <w:sz w:val="32"/>
          <w:szCs w:val="32"/>
        </w:rPr>
        <w:t>推进国有金融资本管理改革，落实好财政履行金融资本出资人职责重大改革，持续优化国有金融资本战略布局。（3）持续巩固提升农村集体产权制度改革，研究推动深化镇级产权制度改革，加强股份社登记管理。</w:t>
      </w:r>
    </w:p>
    <w:p w14:paraId="3EF4CED0">
      <w:pPr>
        <w:adjustRightInd w:val="0"/>
        <w:snapToGrid w:val="0"/>
        <w:spacing w:line="560" w:lineRule="exact"/>
        <w:ind w:firstLine="640" w:firstLineChars="200"/>
        <w:rPr>
          <w:rFonts w:ascii="仿宋_GB2312" w:eastAsia="楷体_GB2312"/>
          <w:b w:val="0"/>
          <w:bCs w:val="0"/>
          <w:kern w:val="0"/>
          <w:sz w:val="32"/>
          <w:szCs w:val="32"/>
          <w:lang w:bidi="en-US"/>
        </w:rPr>
      </w:pPr>
      <w:r>
        <w:rPr>
          <w:rFonts w:hint="eastAsia" w:ascii="楷体_GB2312" w:eastAsia="楷体_GB2312"/>
          <w:b w:val="0"/>
          <w:bCs w:val="0"/>
          <w:sz w:val="32"/>
          <w:szCs w:val="32"/>
        </w:rPr>
        <w:t>（五）用心用情改善民生，努力建设高品质民生幸福城区</w:t>
      </w:r>
    </w:p>
    <w:p w14:paraId="74113C33">
      <w:pPr>
        <w:adjustRightInd w:val="0"/>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kern w:val="0"/>
          <w:sz w:val="32"/>
          <w:szCs w:val="32"/>
          <w:lang w:eastAsia="zh-CN"/>
        </w:rPr>
        <w:t>稳步推进健康海淀建设。</w:t>
      </w:r>
      <w:r>
        <w:rPr>
          <w:rFonts w:hint="eastAsia" w:ascii="仿宋_GB2312" w:eastAsia="仿宋_GB2312"/>
          <w:b w:val="0"/>
          <w:bCs w:val="0"/>
          <w:kern w:val="0"/>
          <w:sz w:val="32"/>
          <w:szCs w:val="32"/>
        </w:rPr>
        <w:t>（</w:t>
      </w:r>
      <w:r>
        <w:rPr>
          <w:rFonts w:hint="eastAsia" w:ascii="仿宋_GB2312" w:eastAsia="仿宋_GB2312"/>
          <w:b w:val="0"/>
          <w:bCs w:val="0"/>
          <w:kern w:val="0"/>
          <w:sz w:val="32"/>
          <w:szCs w:val="32"/>
          <w:lang w:val="en-US" w:eastAsia="zh-CN"/>
        </w:rPr>
        <w:t>1</w:t>
      </w:r>
      <w:r>
        <w:rPr>
          <w:rFonts w:hint="eastAsia" w:ascii="仿宋_GB2312" w:eastAsia="仿宋_GB2312"/>
          <w:b w:val="0"/>
          <w:bCs w:val="0"/>
          <w:kern w:val="0"/>
          <w:sz w:val="32"/>
          <w:szCs w:val="32"/>
        </w:rPr>
        <w:t>）</w:t>
      </w:r>
      <w:r>
        <w:rPr>
          <w:rFonts w:hint="eastAsia" w:ascii="仿宋_GB2312" w:eastAsia="仿宋_GB2312"/>
          <w:b w:val="0"/>
          <w:bCs w:val="0"/>
          <w:kern w:val="0"/>
          <w:sz w:val="32"/>
          <w:szCs w:val="32"/>
          <w:lang w:eastAsia="zh-CN"/>
        </w:rPr>
        <w:t>研判疫情形势变化，持续优化防控措施，强化医疗资源储备供应，不断提升突发公共卫生事件应急能力。（</w:t>
      </w:r>
      <w:r>
        <w:rPr>
          <w:rFonts w:hint="eastAsia" w:ascii="仿宋_GB2312" w:eastAsia="仿宋_GB2312"/>
          <w:b w:val="0"/>
          <w:bCs w:val="0"/>
          <w:kern w:val="0"/>
          <w:sz w:val="32"/>
          <w:szCs w:val="32"/>
          <w:lang w:val="en-US" w:eastAsia="zh-CN"/>
        </w:rPr>
        <w:t>2）</w:t>
      </w:r>
      <w:r>
        <w:rPr>
          <w:rFonts w:hint="eastAsia" w:ascii="仿宋_GB2312" w:eastAsia="仿宋_GB2312"/>
          <w:b w:val="0"/>
          <w:bCs w:val="0"/>
          <w:kern w:val="0"/>
          <w:sz w:val="32"/>
          <w:szCs w:val="32"/>
          <w:lang w:eastAsia="zh-CN"/>
        </w:rPr>
        <w:t>推动优质医疗资源扩容下沉和区域均衡布局，</w:t>
      </w:r>
      <w:r>
        <w:rPr>
          <w:rFonts w:hint="eastAsia" w:ascii="仿宋_GB2312" w:eastAsia="仿宋_GB2312"/>
          <w:b w:val="0"/>
          <w:bCs w:val="0"/>
          <w:sz w:val="32"/>
          <w:szCs w:val="32"/>
        </w:rPr>
        <w:t>启动海淀妇幼保健院旧址改造和蓟门里社区医院建设</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加快推进金隅科技园配套医院和海淀区中医医院建设项目</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新增不少于10家医保定点零售药店。</w:t>
      </w: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lang w:eastAsia="zh-CN"/>
        </w:rPr>
        <w:t>优化分级诊疗服务，提升家庭医生签约服务的针对性，系统加强重点人群健康服务保障，提高百姓的获得感和满意率。（</w:t>
      </w:r>
      <w:r>
        <w:rPr>
          <w:rFonts w:hint="eastAsia" w:ascii="仿宋_GB2312" w:eastAsia="仿宋_GB2312"/>
          <w:b w:val="0"/>
          <w:bCs w:val="0"/>
          <w:sz w:val="32"/>
          <w:szCs w:val="32"/>
          <w:lang w:val="en-US" w:eastAsia="zh-CN"/>
        </w:rPr>
        <w:t>4）</w:t>
      </w:r>
      <w:r>
        <w:rPr>
          <w:rFonts w:hint="eastAsia" w:ascii="仿宋_GB2312" w:eastAsia="仿宋_GB2312"/>
          <w:b w:val="0"/>
          <w:bCs w:val="0"/>
          <w:sz w:val="32"/>
          <w:szCs w:val="32"/>
        </w:rPr>
        <w:t>大力推动互联网医院建设，拓展北京世纪坛医院、航天中心医院开展“互联网</w:t>
      </w:r>
      <w:r>
        <w:rPr>
          <w:rFonts w:ascii="仿宋_GB2312" w:eastAsia="仿宋_GB2312"/>
          <w:b w:val="0"/>
          <w:bCs w:val="0"/>
          <w:sz w:val="32"/>
          <w:szCs w:val="32"/>
        </w:rPr>
        <w:t>+护理服务</w:t>
      </w:r>
      <w:r>
        <w:rPr>
          <w:rFonts w:hint="eastAsia" w:ascii="仿宋_GB2312" w:eastAsia="仿宋_GB2312"/>
          <w:b w:val="0"/>
          <w:bCs w:val="0"/>
          <w:sz w:val="32"/>
          <w:szCs w:val="32"/>
        </w:rPr>
        <w:t>”</w:t>
      </w:r>
      <w:r>
        <w:rPr>
          <w:rFonts w:ascii="仿宋_GB2312" w:eastAsia="仿宋_GB2312"/>
          <w:b w:val="0"/>
          <w:bCs w:val="0"/>
          <w:sz w:val="32"/>
          <w:szCs w:val="32"/>
        </w:rPr>
        <w:t>试点工作。（</w:t>
      </w:r>
      <w:r>
        <w:rPr>
          <w:rFonts w:hint="eastAsia" w:ascii="仿宋_GB2312" w:eastAsia="仿宋_GB2312"/>
          <w:b w:val="0"/>
          <w:bCs w:val="0"/>
          <w:sz w:val="32"/>
          <w:szCs w:val="32"/>
          <w:lang w:val="en-US" w:eastAsia="zh-CN"/>
        </w:rPr>
        <w:t>5</w:t>
      </w:r>
      <w:r>
        <w:rPr>
          <w:rFonts w:ascii="仿宋_GB2312" w:eastAsia="仿宋_GB2312"/>
          <w:b w:val="0"/>
          <w:bCs w:val="0"/>
          <w:sz w:val="32"/>
          <w:szCs w:val="32"/>
        </w:rPr>
        <w:t>）</w:t>
      </w:r>
      <w:r>
        <w:rPr>
          <w:rFonts w:hint="eastAsia" w:ascii="仿宋_GB2312" w:hAnsi="宋体" w:eastAsia="仿宋_GB2312"/>
          <w:b w:val="0"/>
          <w:bCs w:val="0"/>
          <w:sz w:val="32"/>
          <w:szCs w:val="32"/>
        </w:rPr>
        <w:t>完善全民健身服务体系，</w:t>
      </w:r>
      <w:r>
        <w:rPr>
          <w:rFonts w:hint="eastAsia" w:ascii="仿宋_GB2312" w:hAnsi="Calibri" w:eastAsia="仿宋_GB2312"/>
          <w:b w:val="0"/>
          <w:bCs w:val="0"/>
          <w:sz w:val="32"/>
          <w:szCs w:val="32"/>
        </w:rPr>
        <w:t>建设不少于7片专项活动场地、更新不少于80套全民健身路径</w:t>
      </w:r>
      <w:r>
        <w:rPr>
          <w:rFonts w:hint="eastAsia" w:ascii="仿宋_GB2312" w:hAnsi="仿宋" w:eastAsia="仿宋_GB2312"/>
          <w:b w:val="0"/>
          <w:bCs w:val="0"/>
          <w:sz w:val="32"/>
          <w:szCs w:val="32"/>
        </w:rPr>
        <w:t>，</w:t>
      </w:r>
      <w:r>
        <w:rPr>
          <w:rFonts w:hint="eastAsia" w:ascii="仿宋_GB2312" w:hAnsi="Calibri" w:eastAsia="仿宋_GB2312"/>
          <w:b w:val="0"/>
          <w:bCs w:val="0"/>
          <w:sz w:val="32"/>
          <w:szCs w:val="32"/>
        </w:rPr>
        <w:t>打造</w:t>
      </w:r>
      <w:r>
        <w:rPr>
          <w:rFonts w:ascii="仿宋_GB2312" w:hAnsi="宋体" w:eastAsia="仿宋_GB2312"/>
          <w:b w:val="0"/>
          <w:bCs w:val="0"/>
          <w:sz w:val="32"/>
          <w:szCs w:val="32"/>
        </w:rPr>
        <w:t>10分钟健身圈。</w:t>
      </w:r>
    </w:p>
    <w:p w14:paraId="1AF72EB5">
      <w:pPr>
        <w:adjustRightInd w:val="0"/>
        <w:snapToGrid w:val="0"/>
        <w:spacing w:line="560" w:lineRule="exact"/>
        <w:ind w:firstLine="640" w:firstLineChars="200"/>
        <w:rPr>
          <w:rFonts w:ascii="仿宋_GB2312" w:hAnsi="宋体" w:eastAsia="仿宋_GB2312"/>
          <w:b w:val="0"/>
          <w:bCs w:val="0"/>
          <w:sz w:val="32"/>
          <w:szCs w:val="32"/>
        </w:rPr>
      </w:pPr>
      <w:r>
        <w:rPr>
          <w:rFonts w:hint="eastAsia" w:ascii="仿宋_GB2312" w:hAnsi="仿宋" w:eastAsia="仿宋_GB2312"/>
          <w:b w:val="0"/>
          <w:bCs w:val="0"/>
          <w:sz w:val="32"/>
          <w:szCs w:val="32"/>
          <w:lang w:eastAsia="zh-CN"/>
        </w:rPr>
        <w:t>用心服务“一老一小”。（</w:t>
      </w:r>
      <w:r>
        <w:rPr>
          <w:rFonts w:hint="eastAsia" w:ascii="仿宋_GB2312" w:hAnsi="仿宋" w:eastAsia="仿宋_GB2312"/>
          <w:b w:val="0"/>
          <w:bCs w:val="0"/>
          <w:sz w:val="32"/>
          <w:szCs w:val="32"/>
          <w:lang w:val="en-US" w:eastAsia="zh-CN"/>
        </w:rPr>
        <w:t>1）</w:t>
      </w:r>
      <w:r>
        <w:rPr>
          <w:rFonts w:hint="eastAsia" w:ascii="仿宋_GB2312" w:hAnsi="仿宋" w:eastAsia="仿宋_GB2312" w:cs="宋体"/>
          <w:b w:val="0"/>
          <w:bCs w:val="0"/>
          <w:kern w:val="0"/>
          <w:sz w:val="32"/>
          <w:szCs w:val="32"/>
        </w:rPr>
        <w:t>促进教育优质发展，</w:t>
      </w:r>
      <w:r>
        <w:rPr>
          <w:rFonts w:hint="eastAsia" w:ascii="仿宋_GB2312" w:eastAsia="仿宋_GB2312"/>
          <w:b w:val="0"/>
          <w:bCs w:val="0"/>
          <w:kern w:val="0"/>
          <w:sz w:val="32"/>
          <w:szCs w:val="32"/>
        </w:rPr>
        <w:t>全年增加普惠性学前学位</w:t>
      </w:r>
      <w:r>
        <w:rPr>
          <w:rFonts w:ascii="仿宋_GB2312" w:eastAsia="仿宋_GB2312"/>
          <w:b w:val="0"/>
          <w:bCs w:val="0"/>
          <w:kern w:val="0"/>
          <w:sz w:val="32"/>
          <w:szCs w:val="32"/>
        </w:rPr>
        <w:t>1000</w:t>
      </w:r>
      <w:r>
        <w:rPr>
          <w:rFonts w:hint="eastAsia" w:ascii="仿宋_GB2312" w:eastAsia="仿宋_GB2312"/>
          <w:b w:val="0"/>
          <w:bCs w:val="0"/>
          <w:kern w:val="0"/>
          <w:sz w:val="32"/>
          <w:szCs w:val="32"/>
        </w:rPr>
        <w:t>个、中小学学位</w:t>
      </w:r>
      <w:r>
        <w:rPr>
          <w:rFonts w:ascii="仿宋_GB2312" w:eastAsia="仿宋_GB2312"/>
          <w:b w:val="0"/>
          <w:bCs w:val="0"/>
          <w:kern w:val="0"/>
          <w:sz w:val="32"/>
          <w:szCs w:val="32"/>
        </w:rPr>
        <w:t>5</w:t>
      </w:r>
      <w:r>
        <w:rPr>
          <w:rFonts w:hint="eastAsia" w:ascii="仿宋_GB2312" w:eastAsia="仿宋_GB2312"/>
          <w:b w:val="0"/>
          <w:bCs w:val="0"/>
          <w:kern w:val="0"/>
          <w:sz w:val="32"/>
          <w:szCs w:val="32"/>
        </w:rPr>
        <w:t>560个</w:t>
      </w:r>
      <w:r>
        <w:rPr>
          <w:rFonts w:hint="eastAsia" w:ascii="仿宋_GB2312" w:hAnsi="仿宋" w:eastAsia="仿宋_GB2312" w:cs="宋体"/>
          <w:b w:val="0"/>
          <w:bCs w:val="0"/>
          <w:kern w:val="0"/>
          <w:sz w:val="32"/>
          <w:szCs w:val="32"/>
        </w:rPr>
        <w:t>，</w:t>
      </w:r>
      <w:r>
        <w:rPr>
          <w:rFonts w:hint="eastAsia" w:ascii="仿宋_GB2312" w:hAnsi="华文中宋" w:eastAsia="仿宋_GB2312"/>
          <w:b w:val="0"/>
          <w:bCs w:val="0"/>
          <w:sz w:val="32"/>
          <w:szCs w:val="32"/>
        </w:rPr>
        <w:t>开展教师交流轮岗跟踪调研工作</w:t>
      </w:r>
      <w:r>
        <w:rPr>
          <w:rFonts w:hint="eastAsia" w:ascii="仿宋_GB2312" w:hAnsi="仿宋" w:eastAsia="仿宋_GB2312" w:cs="宋体"/>
          <w:b w:val="0"/>
          <w:bCs w:val="0"/>
          <w:kern w:val="0"/>
          <w:sz w:val="32"/>
          <w:szCs w:val="32"/>
        </w:rPr>
        <w:t>。（</w:t>
      </w:r>
      <w:r>
        <w:rPr>
          <w:rFonts w:hint="eastAsia" w:ascii="仿宋_GB2312" w:hAnsi="仿宋" w:eastAsia="仿宋_GB2312" w:cs="宋体"/>
          <w:b w:val="0"/>
          <w:bCs w:val="0"/>
          <w:kern w:val="0"/>
          <w:sz w:val="32"/>
          <w:szCs w:val="32"/>
          <w:lang w:val="en-US" w:eastAsia="zh-CN"/>
        </w:rPr>
        <w:t>2</w:t>
      </w:r>
      <w:r>
        <w:rPr>
          <w:rFonts w:hint="eastAsia" w:ascii="仿宋_GB2312" w:hAnsi="仿宋" w:eastAsia="仿宋_GB2312" w:cs="宋体"/>
          <w:b w:val="0"/>
          <w:bCs w:val="0"/>
          <w:kern w:val="0"/>
          <w:sz w:val="32"/>
          <w:szCs w:val="32"/>
        </w:rPr>
        <w:t>）</w:t>
      </w:r>
      <w:r>
        <w:rPr>
          <w:rFonts w:hint="eastAsia" w:ascii="仿宋_GB2312" w:hAnsi="仿宋" w:eastAsia="仿宋_GB2312" w:cs="宋体"/>
          <w:b w:val="0"/>
          <w:bCs w:val="0"/>
          <w:kern w:val="0"/>
          <w:sz w:val="32"/>
          <w:szCs w:val="32"/>
          <w:lang w:eastAsia="zh-CN"/>
        </w:rPr>
        <w:t>落实三孩生育养育配套支持政策；</w:t>
      </w:r>
      <w:r>
        <w:rPr>
          <w:rFonts w:hint="eastAsia" w:ascii="仿宋_GB2312" w:hAnsi="仿宋_GB2312" w:eastAsia="仿宋_GB2312" w:cs="仿宋_GB2312"/>
          <w:b w:val="0"/>
          <w:bCs w:val="0"/>
          <w:kern w:val="0"/>
          <w:sz w:val="32"/>
          <w:szCs w:val="32"/>
        </w:rPr>
        <w:t>完成儿童福利院建设并投入运营</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建设街镇级未成年人保护工作站试点。</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3）</w:t>
      </w:r>
      <w:r>
        <w:rPr>
          <w:rFonts w:hint="eastAsia" w:ascii="仿宋_GB2312" w:hAnsi="仿宋" w:eastAsia="仿宋_GB2312"/>
          <w:b w:val="0"/>
          <w:bCs w:val="0"/>
          <w:sz w:val="32"/>
          <w:szCs w:val="32"/>
        </w:rPr>
        <w:t>积极打造“一刻钟养老服务圈”，新增社区养老服务驿站10家、养老助餐点58家，为新增90周岁以上高龄老年人家庭进行适老化改造。持续推进“智慧养老”示范区建设，基本建成智慧养老综合管理服务平台。</w:t>
      </w:r>
    </w:p>
    <w:p w14:paraId="098A16D4">
      <w:pPr>
        <w:adjustRightInd w:val="0"/>
        <w:snapToGrid w:val="0"/>
        <w:spacing w:line="560" w:lineRule="exact"/>
        <w:ind w:firstLine="640" w:firstLineChars="200"/>
        <w:rPr>
          <w:rFonts w:ascii="仿宋_GB2312" w:hAnsi="仿宋_GB2312" w:eastAsia="仿宋_GB2312" w:cs="仿宋_GB2312"/>
          <w:b w:val="0"/>
          <w:bCs w:val="0"/>
          <w:kern w:val="0"/>
          <w:sz w:val="32"/>
          <w:szCs w:val="32"/>
        </w:rPr>
      </w:pPr>
      <w:r>
        <w:rPr>
          <w:rFonts w:hint="eastAsia" w:ascii="仿宋_GB2312" w:hAnsi="Helvetica" w:eastAsia="仿宋_GB2312" w:cs="Helvetica"/>
          <w:b w:val="0"/>
          <w:bCs w:val="0"/>
          <w:sz w:val="32"/>
          <w:szCs w:val="32"/>
        </w:rPr>
        <w:t>织密扎牢</w:t>
      </w:r>
      <w:r>
        <w:rPr>
          <w:rFonts w:hint="eastAsia" w:ascii="仿宋_GB2312" w:hAnsi="Helvetica" w:eastAsia="仿宋_GB2312" w:cs="Helvetica"/>
          <w:b w:val="0"/>
          <w:bCs w:val="0"/>
          <w:sz w:val="32"/>
          <w:szCs w:val="32"/>
          <w:lang w:eastAsia="zh-CN"/>
        </w:rPr>
        <w:t>社会</w:t>
      </w:r>
      <w:r>
        <w:rPr>
          <w:rFonts w:hint="eastAsia" w:ascii="仿宋_GB2312" w:hAnsi="Helvetica" w:eastAsia="仿宋_GB2312" w:cs="Helvetica"/>
          <w:b w:val="0"/>
          <w:bCs w:val="0"/>
          <w:sz w:val="32"/>
          <w:szCs w:val="32"/>
        </w:rPr>
        <w:t>保障网。（1）</w:t>
      </w:r>
      <w:r>
        <w:rPr>
          <w:rFonts w:hint="eastAsia" w:ascii="仿宋_GB2312" w:hAnsi="仿宋" w:eastAsia="仿宋_GB2312"/>
          <w:b w:val="0"/>
          <w:bCs w:val="0"/>
          <w:sz w:val="32"/>
          <w:szCs w:val="32"/>
        </w:rPr>
        <w:t>把稳就业摆在更加突出位置，提供更加充分的公共就业服务，实施更加积极的就业创业政策，帮助1.5万名城乡劳动力实现就业，</w:t>
      </w:r>
      <w:r>
        <w:rPr>
          <w:rFonts w:hint="eastAsia" w:ascii="仿宋_GB2312" w:hAnsi="仿宋_GB2312" w:eastAsia="仿宋_GB2312" w:cs="仿宋_GB2312"/>
          <w:b w:val="0"/>
          <w:bCs w:val="0"/>
          <w:sz w:val="32"/>
          <w:szCs w:val="32"/>
        </w:rPr>
        <w:t>提升重点群体就业质量。（</w:t>
      </w:r>
      <w:r>
        <w:rPr>
          <w:rFonts w:ascii="仿宋_GB2312" w:hAnsi="仿宋_GB2312" w:eastAsia="仿宋_GB2312" w:cs="仿宋_GB2312"/>
          <w:b w:val="0"/>
          <w:bCs w:val="0"/>
          <w:sz w:val="32"/>
          <w:szCs w:val="32"/>
        </w:rPr>
        <w:t>2）</w:t>
      </w:r>
      <w:r>
        <w:rPr>
          <w:rFonts w:ascii="仿宋_GB2312" w:hAnsi="仿宋" w:eastAsia="仿宋_GB2312"/>
          <w:b w:val="0"/>
          <w:bCs w:val="0"/>
          <w:sz w:val="32"/>
          <w:szCs w:val="32"/>
        </w:rPr>
        <w:t>持续加大政策性住房保障力度。</w:t>
      </w:r>
      <w:r>
        <w:rPr>
          <w:rFonts w:hint="eastAsia" w:ascii="仿宋_GB2312" w:eastAsia="仿宋_GB2312"/>
          <w:b w:val="0"/>
          <w:bCs w:val="0"/>
          <w:kern w:val="0"/>
          <w:sz w:val="32"/>
          <w:szCs w:val="32"/>
        </w:rPr>
        <w:t>全年开工保障性住房</w:t>
      </w:r>
      <w:r>
        <w:rPr>
          <w:rFonts w:ascii="仿宋_GB2312" w:eastAsia="仿宋_GB2312"/>
          <w:b w:val="0"/>
          <w:bCs w:val="0"/>
          <w:kern w:val="0"/>
          <w:sz w:val="32"/>
          <w:szCs w:val="32"/>
        </w:rPr>
        <w:t>8000</w:t>
      </w:r>
      <w:r>
        <w:rPr>
          <w:rFonts w:hint="eastAsia" w:ascii="仿宋_GB2312" w:eastAsia="仿宋_GB2312"/>
          <w:b w:val="0"/>
          <w:bCs w:val="0"/>
          <w:kern w:val="0"/>
          <w:sz w:val="32"/>
          <w:szCs w:val="32"/>
        </w:rPr>
        <w:t>套、竣工</w:t>
      </w:r>
      <w:r>
        <w:rPr>
          <w:rFonts w:ascii="仿宋_GB2312" w:eastAsia="仿宋_GB2312"/>
          <w:b w:val="0"/>
          <w:bCs w:val="0"/>
          <w:kern w:val="0"/>
          <w:sz w:val="32"/>
          <w:szCs w:val="32"/>
        </w:rPr>
        <w:t>6100</w:t>
      </w:r>
      <w:r>
        <w:rPr>
          <w:rFonts w:hint="eastAsia" w:ascii="仿宋_GB2312" w:eastAsia="仿宋_GB2312"/>
          <w:b w:val="0"/>
          <w:bCs w:val="0"/>
          <w:kern w:val="0"/>
          <w:sz w:val="32"/>
          <w:szCs w:val="32"/>
        </w:rPr>
        <w:t>套。</w:t>
      </w:r>
      <w:r>
        <w:rPr>
          <w:rFonts w:hint="eastAsia" w:ascii="仿宋_GB2312" w:hAnsi="黑体" w:eastAsia="仿宋_GB2312"/>
          <w:b w:val="0"/>
          <w:bCs w:val="0"/>
          <w:sz w:val="32"/>
          <w:szCs w:val="32"/>
        </w:rPr>
        <w:t>强化公租房备案家庭配租力度，提升重点人群公租房保障率、公租房备案家庭总体保障率。（3</w:t>
      </w:r>
      <w:r>
        <w:rPr>
          <w:rFonts w:ascii="仿宋_GB2312" w:hAnsi="黑体" w:eastAsia="仿宋_GB2312"/>
          <w:b w:val="0"/>
          <w:bCs w:val="0"/>
          <w:sz w:val="32"/>
          <w:szCs w:val="32"/>
        </w:rPr>
        <w:t>）</w:t>
      </w:r>
      <w:r>
        <w:rPr>
          <w:rFonts w:hint="eastAsia" w:ascii="仿宋_GB2312" w:hAnsi="黑体" w:eastAsia="仿宋_GB2312"/>
          <w:b w:val="0"/>
          <w:bCs w:val="0"/>
          <w:sz w:val="32"/>
          <w:szCs w:val="32"/>
        </w:rPr>
        <w:t>健全社会保障体系</w:t>
      </w:r>
      <w:r>
        <w:rPr>
          <w:rFonts w:ascii="仿宋_GB2312" w:hAnsi="黑体" w:eastAsia="仿宋_GB2312"/>
          <w:b w:val="0"/>
          <w:bCs w:val="0"/>
          <w:sz w:val="32"/>
          <w:szCs w:val="32"/>
        </w:rPr>
        <w:t>。落实社会救助标准动态调整机制，稳步提升困难群众保障水平。积极发展服务类社会救助</w:t>
      </w:r>
      <w:r>
        <w:rPr>
          <w:rFonts w:hint="eastAsia" w:ascii="仿宋_GB2312" w:hAnsi="黑体" w:eastAsia="仿宋_GB2312"/>
          <w:b w:val="0"/>
          <w:bCs w:val="0"/>
          <w:sz w:val="32"/>
          <w:szCs w:val="32"/>
        </w:rPr>
        <w:t>，持续推进精准救助帮扶</w:t>
      </w:r>
      <w:r>
        <w:rPr>
          <w:rFonts w:ascii="仿宋_GB2312" w:hAnsi="黑体" w:eastAsia="仿宋_GB2312"/>
          <w:b w:val="0"/>
          <w:bCs w:val="0"/>
          <w:sz w:val="32"/>
          <w:szCs w:val="32"/>
        </w:rPr>
        <w:t>。</w:t>
      </w:r>
      <w:r>
        <w:rPr>
          <w:rFonts w:hint="eastAsia" w:ascii="仿宋_GB2312" w:hAnsi="黑体" w:eastAsia="仿宋_GB2312"/>
          <w:b w:val="0"/>
          <w:bCs w:val="0"/>
          <w:sz w:val="32"/>
          <w:szCs w:val="32"/>
        </w:rPr>
        <w:t>（4</w:t>
      </w:r>
      <w:r>
        <w:rPr>
          <w:rFonts w:ascii="仿宋_GB2312" w:hAnsi="黑体" w:eastAsia="仿宋_GB2312"/>
          <w:b w:val="0"/>
          <w:bCs w:val="0"/>
          <w:sz w:val="32"/>
          <w:szCs w:val="32"/>
        </w:rPr>
        <w:t>）</w:t>
      </w:r>
      <w:r>
        <w:rPr>
          <w:rFonts w:hint="eastAsia" w:ascii="仿宋_GB2312" w:hAnsi="仿宋_GB2312" w:eastAsia="仿宋_GB2312" w:cs="仿宋_GB2312"/>
          <w:b w:val="0"/>
          <w:bCs w:val="0"/>
          <w:kern w:val="0"/>
          <w:sz w:val="32"/>
          <w:szCs w:val="32"/>
        </w:rPr>
        <w:t>健全多层次医疗保障体系。完善城镇职工门诊共济保障机制，加强个人账户定向使用管理。做好北京普惠健康保推广扩面工作，推动医保与商保有效衔接。</w:t>
      </w:r>
    </w:p>
    <w:p w14:paraId="3F27B1FB">
      <w:pPr>
        <w:adjustRightInd w:val="0"/>
        <w:snapToGrid w:val="0"/>
        <w:spacing w:line="560" w:lineRule="exact"/>
        <w:ind w:firstLine="640" w:firstLineChars="200"/>
        <w:rPr>
          <w:rFonts w:ascii="仿宋_GB2312" w:hAnsi="Helvetica" w:eastAsia="仿宋_GB2312" w:cs="Helvetica"/>
          <w:b w:val="0"/>
          <w:bCs w:val="0"/>
          <w:sz w:val="32"/>
          <w:szCs w:val="32"/>
        </w:rPr>
      </w:pPr>
      <w:r>
        <w:rPr>
          <w:rFonts w:hint="eastAsia" w:ascii="仿宋_GB2312" w:hAnsi="仿宋" w:eastAsia="仿宋_GB2312"/>
          <w:b w:val="0"/>
          <w:bCs w:val="0"/>
          <w:sz w:val="32"/>
          <w:szCs w:val="32"/>
        </w:rPr>
        <w:t>进一步提高文化综合实力。（1）</w:t>
      </w:r>
      <w:r>
        <w:rPr>
          <w:rFonts w:hint="eastAsia" w:ascii="仿宋_GB2312" w:hAnsi="仿宋_GB2312" w:eastAsia="仿宋_GB2312" w:cs="仿宋_GB2312"/>
          <w:b w:val="0"/>
          <w:bCs w:val="0"/>
          <w:sz w:val="32"/>
          <w:szCs w:val="32"/>
        </w:rPr>
        <w:t>深入开展党的二十大精神主题宣传教育活动和全区百姓宣讲工作，持续深化社会主义核心价值观建设，筑牢区域意识形态安全防线。</w:t>
      </w:r>
      <w:r>
        <w:rPr>
          <w:rFonts w:hint="eastAsia" w:ascii="仿宋_GB2312" w:eastAsia="仿宋_GB2312"/>
          <w:b w:val="0"/>
          <w:bCs w:val="0"/>
          <w:sz w:val="32"/>
          <w:szCs w:val="32"/>
        </w:rPr>
        <w:t>推进清华园车站修缮、展示工程，打通“进京赶考之路”红色路径。</w:t>
      </w:r>
      <w:r>
        <w:rPr>
          <w:rFonts w:hint="eastAsia" w:ascii="仿宋_GB2312" w:hAnsi="仿宋_GB2312" w:eastAsia="仿宋_GB2312" w:cs="仿宋_GB2312"/>
          <w:b w:val="0"/>
          <w:bCs w:val="0"/>
          <w:sz w:val="32"/>
          <w:szCs w:val="32"/>
        </w:rPr>
        <w:t>（2）</w:t>
      </w:r>
      <w:r>
        <w:rPr>
          <w:rFonts w:hint="eastAsia" w:ascii="仿宋_GB2312" w:eastAsia="仿宋_GB2312"/>
          <w:b w:val="0"/>
          <w:bCs w:val="0"/>
          <w:sz w:val="32"/>
          <w:szCs w:val="32"/>
          <w:highlight w:val="none"/>
        </w:rPr>
        <w:t>三山五园艺术中心、</w:t>
      </w:r>
      <w:r>
        <w:rPr>
          <w:rFonts w:hint="eastAsia" w:ascii="仿宋_GB2312" w:eastAsia="仿宋_GB2312"/>
          <w:b w:val="0"/>
          <w:bCs w:val="0"/>
          <w:sz w:val="32"/>
          <w:szCs w:val="32"/>
        </w:rPr>
        <w:t>圆明园博物馆建成投用，推进三山五园文创产品、高沉浸式体验项目等品牌运营</w:t>
      </w:r>
      <w:r>
        <w:rPr>
          <w:rFonts w:hint="eastAsia" w:ascii="仿宋_GB2312" w:hAnsi="仿宋" w:eastAsia="仿宋_GB2312" w:cs="仿宋"/>
          <w:b w:val="0"/>
          <w:bCs w:val="0"/>
          <w:sz w:val="32"/>
          <w:szCs w:val="32"/>
        </w:rPr>
        <w:t>。</w:t>
      </w:r>
      <w:r>
        <w:rPr>
          <w:rFonts w:hint="eastAsia" w:ascii="仿宋_GB2312" w:hAnsi="仿宋" w:eastAsia="仿宋_GB2312"/>
          <w:b w:val="0"/>
          <w:bCs w:val="0"/>
          <w:sz w:val="32"/>
          <w:szCs w:val="32"/>
        </w:rPr>
        <w:t>（3）统筹推进全国文化中心建设。</w:t>
      </w:r>
      <w:r>
        <w:rPr>
          <w:rFonts w:hint="eastAsia" w:ascii="仿宋_GB2312" w:eastAsia="仿宋_GB2312"/>
          <w:b w:val="0"/>
          <w:bCs w:val="0"/>
          <w:sz w:val="32"/>
          <w:szCs w:val="32"/>
        </w:rPr>
        <w:t>以国家公共文化服务体系示范区复检为抓手健全现代公共文化服务体系。继续实施中关村国际青年艺术季、海淀文化季等文化惠民工程。</w:t>
      </w:r>
      <w:r>
        <w:rPr>
          <w:rFonts w:hint="eastAsia" w:ascii="仿宋_GB2312" w:hAnsi="仿宋_GB2312" w:eastAsia="仿宋_GB2312" w:cs="仿宋_GB2312"/>
          <w:b w:val="0"/>
          <w:bCs w:val="0"/>
          <w:sz w:val="32"/>
          <w:szCs w:val="32"/>
        </w:rPr>
        <w:t>支持一批基层公共文化设施提档升级。（4）持续扩大公共文化产品供给，提供450场高品质文艺演出，惠及群众400万人次。</w:t>
      </w:r>
      <w:r>
        <w:rPr>
          <w:rFonts w:hint="eastAsia" w:ascii="仿宋_GB2312" w:eastAsia="仿宋_GB2312"/>
          <w:b w:val="0"/>
          <w:bCs w:val="0"/>
          <w:sz w:val="32"/>
          <w:szCs w:val="32"/>
        </w:rPr>
        <w:t>（5）建成不可移动文物智能保护系统并投入使用，为三山五园国家文物保护利用示范区考核提供场景式验收。</w:t>
      </w:r>
    </w:p>
    <w:p w14:paraId="5BE16AD0">
      <w:pPr>
        <w:adjustRightInd w:val="0"/>
        <w:snapToGrid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持续加强和创新社会治理。（1）继续完善“接诉即办”工作机制；严格精准派单制度，逐步实施“吹哨报到”双考核机制和区属国企双考核；继续落实好“每月一题”专项治理，集中解决一批群众急难愁盼和疑难复杂的重点民生诉求。（2）持续推进基层社会治理。做实做强网格（小区）党支部、楼门院党小组等社区党的组织，推动社区治理向楼门院延伸；规范市级议事厅和楼门院示范点、村级自治组织建设。（3）持之以恒抓好垃圾分类和物业管理两件“关键小事”。扩大“社区伙伴计划”示范引领效应，完善住宅物业项目监督考核评价及奖惩机制，对1178个物业管理区域开展综合考评。持续开展市级生活垃圾分类示范小区、村创建工作，加快再生资源回收点、中转站、分拣中心等终端设施建设。（4）</w:t>
      </w:r>
      <w:r>
        <w:rPr>
          <w:rFonts w:hint="eastAsia" w:ascii="仿宋_GB2312" w:hAnsi="仿宋_GB2312" w:eastAsia="仿宋_GB2312" w:cs="仿宋_GB2312"/>
          <w:b w:val="0"/>
          <w:bCs w:val="0"/>
          <w:kern w:val="0"/>
          <w:sz w:val="32"/>
          <w:szCs w:val="32"/>
        </w:rPr>
        <w:t>完善“城市大脑”基础设施与平台体系建设。</w:t>
      </w:r>
      <w:r>
        <w:rPr>
          <w:rFonts w:hint="eastAsia" w:ascii="仿宋_GB2312" w:hAnsi="仿宋_GB2312" w:eastAsia="仿宋_GB2312" w:cs="仿宋_GB2312"/>
          <w:b w:val="0"/>
          <w:bCs w:val="0"/>
          <w:sz w:val="32"/>
          <w:szCs w:val="32"/>
        </w:rPr>
        <w:t>优化各级各类政务服务大厅空间和服务流程，打造新型“智慧大厅、温馨大厅”，建设高效能数字政府。（5）持续推进平安海淀建设；创建50个综合减灾示范社区；深化国家食品安全示范城市创建成果；防范化解金融风险，严守城市安全底线。</w:t>
      </w:r>
    </w:p>
    <w:p w14:paraId="126AFD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spacing w:val="-4"/>
          <w:sz w:val="32"/>
          <w:szCs w:val="32"/>
        </w:rPr>
      </w:pPr>
      <w:r>
        <w:rPr>
          <w:rFonts w:hint="eastAsia" w:ascii="仿宋_GB2312" w:eastAsia="仿宋_GB2312"/>
          <w:b w:val="0"/>
          <w:bCs w:val="0"/>
          <w:sz w:val="32"/>
          <w:szCs w:val="32"/>
        </w:rPr>
        <w:t>各位代表，我们将在市委市政府和区委坚强领导下，在区人大</w:t>
      </w:r>
      <w:r>
        <w:rPr>
          <w:rFonts w:hint="eastAsia" w:ascii="仿宋_GB2312" w:eastAsia="仿宋_GB2312"/>
          <w:b w:val="0"/>
          <w:bCs w:val="0"/>
          <w:spacing w:val="-4"/>
          <w:sz w:val="32"/>
          <w:szCs w:val="32"/>
        </w:rPr>
        <w:t>监督指导下，</w:t>
      </w:r>
      <w:r>
        <w:rPr>
          <w:rFonts w:hint="eastAsia" w:ascii="仿宋_GB2312" w:hAnsi="仿宋_GB2312" w:eastAsia="仿宋_GB2312" w:cs="仿宋_GB2312"/>
          <w:b w:val="0"/>
          <w:bCs w:val="0"/>
          <w:spacing w:val="-4"/>
          <w:sz w:val="32"/>
          <w:szCs w:val="32"/>
        </w:rPr>
        <w:t>坚定扛起“深耕试验田、当好排头兵”的责任使命，</w:t>
      </w:r>
      <w:r>
        <w:rPr>
          <w:rFonts w:hint="eastAsia" w:ascii="仿宋_GB2312" w:eastAsia="仿宋_GB2312"/>
          <w:b w:val="0"/>
          <w:bCs w:val="0"/>
          <w:spacing w:val="-4"/>
          <w:sz w:val="32"/>
          <w:szCs w:val="32"/>
        </w:rPr>
        <w:t>开拓进取、化危为机、乘势而上、奋勇争先，</w:t>
      </w:r>
      <w:r>
        <w:rPr>
          <w:rFonts w:hint="eastAsia" w:ascii="仿宋_GB2312" w:hAnsi="仿宋_GB2312" w:eastAsia="仿宋_GB2312" w:cs="仿宋_GB2312"/>
          <w:b w:val="0"/>
          <w:bCs w:val="0"/>
          <w:spacing w:val="-4"/>
          <w:sz w:val="32"/>
          <w:szCs w:val="32"/>
        </w:rPr>
        <w:t>高水平</w:t>
      </w:r>
      <w:r>
        <w:rPr>
          <w:rFonts w:hint="eastAsia" w:ascii="仿宋_GB2312" w:eastAsia="仿宋_GB2312"/>
          <w:b w:val="0"/>
          <w:bCs w:val="0"/>
          <w:spacing w:val="-4"/>
          <w:sz w:val="32"/>
          <w:szCs w:val="32"/>
        </w:rPr>
        <w:t>建设现代化国际化创新型宜居宜业城区和北京国际科技创新中心核心区，</w:t>
      </w:r>
      <w:r>
        <w:rPr>
          <w:rFonts w:hint="eastAsia" w:ascii="仿宋_GB2312" w:hAnsi="仿宋_GB2312" w:eastAsia="仿宋_GB2312" w:cs="仿宋_GB2312"/>
          <w:b w:val="0"/>
          <w:bCs w:val="0"/>
          <w:spacing w:val="-4"/>
          <w:sz w:val="32"/>
          <w:szCs w:val="32"/>
        </w:rPr>
        <w:t>为打造以首都发展为统领的现代化高品质海淀而努力奋斗。</w:t>
      </w:r>
    </w:p>
    <w:p w14:paraId="6F7C32EE">
      <w:pPr>
        <w:pStyle w:val="2"/>
        <w:keepNext w:val="0"/>
        <w:keepLines w:val="0"/>
        <w:pageBreakBefore w:val="0"/>
        <w:widowControl w:val="0"/>
        <w:kinsoku/>
        <w:wordWrap/>
        <w:overflowPunct/>
        <w:topLinePunct w:val="0"/>
        <w:autoSpaceDE/>
        <w:autoSpaceDN/>
        <w:bidi w:val="0"/>
        <w:adjustRightInd w:val="0"/>
        <w:snapToGrid w:val="0"/>
        <w:ind w:left="0" w:leftChars="0"/>
        <w:textAlignment w:val="auto"/>
        <w:rPr>
          <w:rFonts w:hint="eastAsia" w:ascii="仿宋_GB2312" w:hAnsi="仿宋_GB2312" w:eastAsia="仿宋_GB2312" w:cs="仿宋_GB2312"/>
          <w:b w:val="0"/>
          <w:bCs w:val="0"/>
          <w:spacing w:val="-4"/>
          <w:sz w:val="32"/>
          <w:szCs w:val="32"/>
        </w:rPr>
      </w:pPr>
    </w:p>
    <w:p w14:paraId="2D0FB227">
      <w:pPr>
        <w:tabs>
          <w:tab w:val="left" w:pos="615"/>
        </w:tabs>
        <w:spacing w:line="560" w:lineRule="exact"/>
        <w:ind w:firstLine="640" w:firstLineChars="200"/>
        <w:rPr>
          <w:rFonts w:ascii="仿宋_GB2312" w:eastAsia="仿宋_GB2312"/>
          <w:b w:val="0"/>
          <w:bCs w:val="0"/>
          <w:spacing w:val="-20"/>
          <w:sz w:val="32"/>
          <w:szCs w:val="32"/>
        </w:rPr>
      </w:pPr>
      <w:r>
        <w:rPr>
          <w:rFonts w:hint="eastAsia" w:ascii="仿宋_GB2312" w:eastAsia="仿宋_GB2312"/>
          <w:b w:val="0"/>
          <w:bCs w:val="0"/>
          <w:sz w:val="32"/>
          <w:szCs w:val="32"/>
        </w:rPr>
        <w:t>附件：1.202</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年海淀区国民经济和社会发展计划</w:t>
      </w:r>
    </w:p>
    <w:p w14:paraId="1BF5126B">
      <w:pPr>
        <w:spacing w:line="560" w:lineRule="exact"/>
        <w:ind w:firstLine="1540" w:firstLineChars="500"/>
        <w:rPr>
          <w:rFonts w:ascii="仿宋_GB2312" w:eastAsia="仿宋_GB2312"/>
          <w:b w:val="0"/>
          <w:bCs w:val="0"/>
          <w:spacing w:val="-6"/>
          <w:sz w:val="32"/>
          <w:szCs w:val="32"/>
        </w:rPr>
      </w:pPr>
      <w:r>
        <w:rPr>
          <w:rFonts w:hint="eastAsia" w:ascii="仿宋_GB2312" w:eastAsia="仿宋_GB2312"/>
          <w:b w:val="0"/>
          <w:bCs w:val="0"/>
          <w:spacing w:val="-6"/>
          <w:sz w:val="32"/>
          <w:szCs w:val="32"/>
        </w:rPr>
        <w:t>2.</w:t>
      </w:r>
      <w:r>
        <w:rPr>
          <w:rFonts w:ascii="仿宋_GB2312" w:eastAsia="仿宋_GB2312"/>
          <w:b w:val="0"/>
          <w:bCs w:val="0"/>
          <w:spacing w:val="-6"/>
          <w:sz w:val="32"/>
          <w:szCs w:val="32"/>
        </w:rPr>
        <w:t>202</w:t>
      </w:r>
      <w:r>
        <w:rPr>
          <w:rFonts w:hint="eastAsia" w:ascii="仿宋_GB2312" w:eastAsia="仿宋_GB2312"/>
          <w:b w:val="0"/>
          <w:bCs w:val="0"/>
          <w:spacing w:val="-6"/>
          <w:sz w:val="32"/>
          <w:szCs w:val="32"/>
          <w:lang w:val="en-US" w:eastAsia="zh-CN"/>
        </w:rPr>
        <w:t>3</w:t>
      </w:r>
      <w:r>
        <w:rPr>
          <w:rFonts w:ascii="仿宋_GB2312" w:eastAsia="仿宋_GB2312"/>
          <w:b w:val="0"/>
          <w:bCs w:val="0"/>
          <w:spacing w:val="-6"/>
          <w:sz w:val="32"/>
          <w:szCs w:val="32"/>
        </w:rPr>
        <w:t>年国民经济和社会发展计划报告重点任务表</w:t>
      </w:r>
    </w:p>
    <w:p w14:paraId="6F047BD4">
      <w:pPr>
        <w:pStyle w:val="3"/>
        <w:keepNext w:val="0"/>
        <w:keepLines w:val="0"/>
        <w:pageBreakBefore w:val="0"/>
        <w:widowControl w:val="0"/>
        <w:kinsoku/>
        <w:wordWrap/>
        <w:overflowPunct/>
        <w:topLinePunct w:val="0"/>
        <w:autoSpaceDE/>
        <w:autoSpaceDN/>
        <w:bidi w:val="0"/>
        <w:adjustRightInd w:val="0"/>
        <w:snapToGrid w:val="0"/>
        <w:ind w:left="0" w:leftChars="0"/>
        <w:textAlignment w:val="auto"/>
        <w:rPr>
          <w:rFonts w:hint="eastAsia"/>
          <w:b w:val="0"/>
          <w:bCs w:val="0"/>
        </w:rPr>
      </w:pPr>
    </w:p>
    <w:p w14:paraId="7BA85C54">
      <w:pPr>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br w:type="page"/>
      </w:r>
    </w:p>
    <w:p w14:paraId="0A629F1D">
      <w:pPr>
        <w:keepNext w:val="0"/>
        <w:keepLines w:val="0"/>
        <w:pageBreakBefore w:val="0"/>
        <w:widowControl w:val="0"/>
        <w:tabs>
          <w:tab w:val="left" w:pos="615"/>
        </w:tabs>
        <w:kinsoku/>
        <w:wordWrap/>
        <w:overflowPunct/>
        <w:topLinePunct w:val="0"/>
        <w:autoSpaceDE/>
        <w:autoSpaceDN/>
        <w:bidi w:val="0"/>
        <w:adjustRightInd/>
        <w:snapToGrid/>
        <w:spacing w:line="560" w:lineRule="exact"/>
        <w:textAlignment w:val="auto"/>
        <w:rPr>
          <w:rFonts w:ascii="黑体" w:hAnsi="黑体" w:eastAsia="黑体"/>
          <w:b w:val="0"/>
          <w:bCs w:val="0"/>
          <w:spacing w:val="-20"/>
          <w:sz w:val="32"/>
          <w:szCs w:val="32"/>
        </w:rPr>
      </w:pPr>
      <w:bookmarkStart w:id="1" w:name="_Hlk123111487"/>
      <w:r>
        <w:rPr>
          <w:rFonts w:hint="eastAsia" w:ascii="黑体" w:hAnsi="黑体" w:eastAsia="黑体"/>
          <w:b w:val="0"/>
          <w:bCs w:val="0"/>
          <w:spacing w:val="-20"/>
          <w:sz w:val="32"/>
          <w:szCs w:val="32"/>
        </w:rPr>
        <w:t>附件1</w:t>
      </w:r>
    </w:p>
    <w:p w14:paraId="5EBBB3BF">
      <w:pPr>
        <w:keepNext w:val="0"/>
        <w:keepLines w:val="0"/>
        <w:pageBreakBefore w:val="0"/>
        <w:widowControl w:val="0"/>
        <w:tabs>
          <w:tab w:val="left" w:pos="615"/>
        </w:tabs>
        <w:kinsoku/>
        <w:wordWrap/>
        <w:overflowPunct/>
        <w:topLinePunct w:val="0"/>
        <w:autoSpaceDE/>
        <w:autoSpaceDN/>
        <w:bidi w:val="0"/>
        <w:adjustRightInd/>
        <w:snapToGrid/>
        <w:spacing w:line="560" w:lineRule="exact"/>
        <w:textAlignment w:val="auto"/>
        <w:rPr>
          <w:rFonts w:ascii="黑体" w:hAnsi="黑体" w:eastAsia="黑体"/>
          <w:b w:val="0"/>
          <w:bCs w:val="0"/>
          <w:spacing w:val="-20"/>
          <w:sz w:val="32"/>
          <w:szCs w:val="32"/>
        </w:rPr>
      </w:pPr>
    </w:p>
    <w:p w14:paraId="0566C20D">
      <w:pPr>
        <w:keepNext w:val="0"/>
        <w:keepLines w:val="0"/>
        <w:pageBreakBefore w:val="0"/>
        <w:widowControl w:val="0"/>
        <w:tabs>
          <w:tab w:val="left" w:pos="615"/>
        </w:tabs>
        <w:kinsoku/>
        <w:wordWrap/>
        <w:overflowPunct/>
        <w:topLinePunct w:val="0"/>
        <w:autoSpaceDE/>
        <w:autoSpaceDN/>
        <w:bidi w:val="0"/>
        <w:adjustRightInd/>
        <w:snapToGrid/>
        <w:spacing w:line="560" w:lineRule="exact"/>
        <w:jc w:val="center"/>
        <w:textAlignment w:val="auto"/>
        <w:rPr>
          <w:rFonts w:ascii="方正小标宋简体" w:eastAsia="方正小标宋简体"/>
          <w:b w:val="0"/>
          <w:bCs w:val="0"/>
          <w:sz w:val="44"/>
          <w:szCs w:val="44"/>
        </w:rPr>
      </w:pPr>
      <w:r>
        <w:rPr>
          <w:rFonts w:hint="eastAsia" w:ascii="方正小标宋简体" w:eastAsia="方正小标宋简体"/>
          <w:b w:val="0"/>
          <w:bCs w:val="0"/>
          <w:sz w:val="44"/>
          <w:szCs w:val="44"/>
        </w:rPr>
        <w:t>202</w:t>
      </w:r>
      <w:r>
        <w:rPr>
          <w:rFonts w:hint="eastAsia" w:ascii="方正小标宋简体" w:eastAsia="方正小标宋简体"/>
          <w:b w:val="0"/>
          <w:bCs w:val="0"/>
          <w:sz w:val="44"/>
          <w:szCs w:val="44"/>
          <w:lang w:val="en-US" w:eastAsia="zh-CN"/>
        </w:rPr>
        <w:t>3</w:t>
      </w:r>
      <w:r>
        <w:rPr>
          <w:rFonts w:hint="eastAsia" w:ascii="方正小标宋简体" w:eastAsia="方正小标宋简体"/>
          <w:b w:val="0"/>
          <w:bCs w:val="0"/>
          <w:sz w:val="44"/>
          <w:szCs w:val="44"/>
        </w:rPr>
        <w:t>年海淀区国民经济和社会发展计划</w:t>
      </w:r>
    </w:p>
    <w:p w14:paraId="1914FE61">
      <w:pPr>
        <w:keepNext w:val="0"/>
        <w:keepLines w:val="0"/>
        <w:pageBreakBefore w:val="0"/>
        <w:widowControl w:val="0"/>
        <w:tabs>
          <w:tab w:val="left" w:pos="615"/>
        </w:tabs>
        <w:kinsoku/>
        <w:wordWrap/>
        <w:overflowPunct/>
        <w:topLinePunct w:val="0"/>
        <w:autoSpaceDE/>
        <w:autoSpaceDN/>
        <w:bidi w:val="0"/>
        <w:adjustRightInd/>
        <w:snapToGrid/>
        <w:spacing w:line="560" w:lineRule="exact"/>
        <w:jc w:val="center"/>
        <w:textAlignment w:val="auto"/>
        <w:rPr>
          <w:rFonts w:ascii="方正小标宋简体" w:eastAsia="方正小标宋简体"/>
          <w:b w:val="0"/>
          <w:bCs w:val="0"/>
          <w:spacing w:val="-20"/>
          <w:sz w:val="44"/>
          <w:szCs w:val="44"/>
        </w:rPr>
      </w:pPr>
    </w:p>
    <w:bookmarkEnd w:id="1"/>
    <w:tbl>
      <w:tblPr>
        <w:tblStyle w:val="20"/>
        <w:tblW w:w="101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6"/>
        <w:gridCol w:w="862"/>
        <w:gridCol w:w="1058"/>
        <w:gridCol w:w="1092"/>
        <w:gridCol w:w="1086"/>
        <w:gridCol w:w="1181"/>
        <w:gridCol w:w="1270"/>
        <w:gridCol w:w="856"/>
        <w:gridCol w:w="702"/>
        <w:gridCol w:w="1450"/>
      </w:tblGrid>
      <w:tr w14:paraId="22BFF4C1">
        <w:trPr>
          <w:trHeight w:val="567" w:hRule="atLeast"/>
          <w:tblHeader/>
          <w:jc w:val="center"/>
        </w:trPr>
        <w:tc>
          <w:tcPr>
            <w:tcW w:w="576" w:type="dxa"/>
            <w:tcMar>
              <w:top w:w="6" w:type="dxa"/>
              <w:left w:w="17" w:type="dxa"/>
              <w:bottom w:w="6" w:type="dxa"/>
              <w:right w:w="17" w:type="dxa"/>
            </w:tcMar>
            <w:vAlign w:val="center"/>
          </w:tcPr>
          <w:p w14:paraId="3740E810">
            <w:pPr>
              <w:widowControl/>
              <w:jc w:val="center"/>
              <w:rPr>
                <w:rFonts w:hint="eastAsia" w:ascii="黑体" w:hAnsi="黑体" w:eastAsia="黑体" w:cs="黑体"/>
                <w:b w:val="0"/>
                <w:bCs w:val="0"/>
                <w:kern w:val="0"/>
                <w:szCs w:val="21"/>
              </w:rPr>
            </w:pPr>
            <w:r>
              <w:rPr>
                <w:rFonts w:hint="eastAsia" w:ascii="黑体" w:hAnsi="黑体" w:eastAsia="黑体" w:cs="黑体"/>
                <w:b w:val="0"/>
                <w:bCs w:val="0"/>
                <w:kern w:val="0"/>
                <w:szCs w:val="21"/>
              </w:rPr>
              <w:t>序号</w:t>
            </w:r>
          </w:p>
        </w:tc>
        <w:tc>
          <w:tcPr>
            <w:tcW w:w="1920" w:type="dxa"/>
            <w:gridSpan w:val="2"/>
            <w:tcMar>
              <w:top w:w="6" w:type="dxa"/>
              <w:left w:w="17" w:type="dxa"/>
              <w:bottom w:w="6" w:type="dxa"/>
              <w:right w:w="17" w:type="dxa"/>
            </w:tcMar>
            <w:vAlign w:val="center"/>
          </w:tcPr>
          <w:p w14:paraId="5489A2C2">
            <w:pPr>
              <w:widowControl/>
              <w:jc w:val="center"/>
              <w:rPr>
                <w:rFonts w:hint="eastAsia" w:ascii="黑体" w:hAnsi="黑体" w:eastAsia="黑体" w:cs="黑体"/>
                <w:b w:val="0"/>
                <w:bCs w:val="0"/>
                <w:kern w:val="0"/>
                <w:szCs w:val="21"/>
              </w:rPr>
            </w:pPr>
            <w:r>
              <w:rPr>
                <w:rFonts w:hint="eastAsia" w:ascii="黑体" w:hAnsi="黑体" w:eastAsia="黑体" w:cs="黑体"/>
                <w:b w:val="0"/>
                <w:bCs w:val="0"/>
                <w:kern w:val="0"/>
                <w:szCs w:val="21"/>
              </w:rPr>
              <w:t>指标</w:t>
            </w:r>
          </w:p>
        </w:tc>
        <w:tc>
          <w:tcPr>
            <w:tcW w:w="1092" w:type="dxa"/>
            <w:tcMar>
              <w:top w:w="6" w:type="dxa"/>
              <w:left w:w="17" w:type="dxa"/>
              <w:bottom w:w="6" w:type="dxa"/>
              <w:right w:w="17" w:type="dxa"/>
            </w:tcMar>
            <w:vAlign w:val="center"/>
          </w:tcPr>
          <w:p w14:paraId="60242F49">
            <w:pPr>
              <w:widowControl/>
              <w:jc w:val="center"/>
              <w:rPr>
                <w:rFonts w:hint="eastAsia" w:ascii="黑体" w:hAnsi="黑体" w:eastAsia="黑体" w:cs="黑体"/>
                <w:b w:val="0"/>
                <w:bCs w:val="0"/>
                <w:kern w:val="0"/>
                <w:szCs w:val="21"/>
              </w:rPr>
            </w:pPr>
            <w:r>
              <w:rPr>
                <w:rFonts w:hint="eastAsia" w:ascii="黑体" w:hAnsi="黑体" w:eastAsia="黑体" w:cs="黑体"/>
                <w:b w:val="0"/>
                <w:bCs w:val="0"/>
                <w:kern w:val="0"/>
                <w:szCs w:val="21"/>
              </w:rPr>
              <w:t>“十四五”规划目标值</w:t>
            </w:r>
          </w:p>
        </w:tc>
        <w:tc>
          <w:tcPr>
            <w:tcW w:w="1086" w:type="dxa"/>
            <w:tcMar>
              <w:top w:w="6" w:type="dxa"/>
              <w:left w:w="17" w:type="dxa"/>
              <w:bottom w:w="6" w:type="dxa"/>
              <w:right w:w="17" w:type="dxa"/>
            </w:tcMar>
            <w:vAlign w:val="center"/>
          </w:tcPr>
          <w:p w14:paraId="2E43EDDC">
            <w:pPr>
              <w:widowControl/>
              <w:jc w:val="center"/>
              <w:rPr>
                <w:rFonts w:hint="eastAsia" w:ascii="黑体" w:hAnsi="黑体" w:eastAsia="黑体" w:cs="黑体"/>
                <w:b w:val="0"/>
                <w:bCs w:val="0"/>
                <w:kern w:val="0"/>
                <w:szCs w:val="21"/>
              </w:rPr>
            </w:pPr>
            <w:r>
              <w:rPr>
                <w:rFonts w:hint="eastAsia" w:ascii="黑体" w:hAnsi="黑体" w:eastAsia="黑体" w:cs="黑体"/>
                <w:b w:val="0"/>
                <w:bCs w:val="0"/>
                <w:kern w:val="0"/>
                <w:szCs w:val="21"/>
              </w:rPr>
              <w:t>2021年</w:t>
            </w:r>
          </w:p>
          <w:p w14:paraId="5A51B069">
            <w:pPr>
              <w:widowControl/>
              <w:jc w:val="center"/>
              <w:rPr>
                <w:rFonts w:hint="eastAsia" w:ascii="黑体" w:hAnsi="黑体" w:eastAsia="黑体" w:cs="黑体"/>
                <w:b w:val="0"/>
                <w:bCs w:val="0"/>
                <w:kern w:val="0"/>
                <w:szCs w:val="21"/>
              </w:rPr>
            </w:pPr>
            <w:r>
              <w:rPr>
                <w:rFonts w:hint="eastAsia" w:ascii="黑体" w:hAnsi="黑体" w:eastAsia="黑体" w:cs="黑体"/>
                <w:b w:val="0"/>
                <w:bCs w:val="0"/>
                <w:kern w:val="0"/>
                <w:szCs w:val="21"/>
              </w:rPr>
              <w:t>数值</w:t>
            </w:r>
          </w:p>
        </w:tc>
        <w:tc>
          <w:tcPr>
            <w:tcW w:w="1181" w:type="dxa"/>
            <w:tcMar>
              <w:top w:w="6" w:type="dxa"/>
              <w:left w:w="17" w:type="dxa"/>
              <w:bottom w:w="6" w:type="dxa"/>
              <w:right w:w="17" w:type="dxa"/>
            </w:tcMar>
            <w:vAlign w:val="center"/>
          </w:tcPr>
          <w:p w14:paraId="19005CBE">
            <w:pPr>
              <w:widowControl/>
              <w:jc w:val="center"/>
              <w:rPr>
                <w:rFonts w:hint="eastAsia" w:ascii="黑体" w:hAnsi="黑体" w:eastAsia="黑体" w:cs="黑体"/>
                <w:b w:val="0"/>
                <w:bCs w:val="0"/>
                <w:kern w:val="0"/>
                <w:szCs w:val="21"/>
              </w:rPr>
            </w:pPr>
            <w:r>
              <w:rPr>
                <w:rFonts w:hint="eastAsia" w:ascii="黑体" w:hAnsi="黑体" w:eastAsia="黑体" w:cs="黑体"/>
                <w:b w:val="0"/>
                <w:bCs w:val="0"/>
                <w:kern w:val="0"/>
                <w:szCs w:val="21"/>
              </w:rPr>
              <w:t>2022年</w:t>
            </w:r>
          </w:p>
          <w:p w14:paraId="51F43EBC">
            <w:pPr>
              <w:widowControl/>
              <w:jc w:val="center"/>
              <w:rPr>
                <w:rFonts w:hint="eastAsia" w:ascii="黑体" w:hAnsi="黑体" w:eastAsia="黑体" w:cs="黑体"/>
                <w:b w:val="0"/>
                <w:bCs w:val="0"/>
                <w:kern w:val="0"/>
                <w:szCs w:val="21"/>
              </w:rPr>
            </w:pPr>
            <w:r>
              <w:rPr>
                <w:rFonts w:hint="eastAsia" w:ascii="黑体" w:hAnsi="黑体" w:eastAsia="黑体" w:cs="黑体"/>
                <w:b w:val="0"/>
                <w:bCs w:val="0"/>
                <w:kern w:val="0"/>
                <w:szCs w:val="21"/>
              </w:rPr>
              <w:t>目标值</w:t>
            </w:r>
          </w:p>
        </w:tc>
        <w:tc>
          <w:tcPr>
            <w:tcW w:w="1270" w:type="dxa"/>
            <w:tcMar>
              <w:top w:w="6" w:type="dxa"/>
              <w:left w:w="17" w:type="dxa"/>
              <w:bottom w:w="6" w:type="dxa"/>
              <w:right w:w="17" w:type="dxa"/>
            </w:tcMar>
            <w:vAlign w:val="center"/>
          </w:tcPr>
          <w:p w14:paraId="6A063A8F">
            <w:pPr>
              <w:widowControl/>
              <w:jc w:val="center"/>
              <w:rPr>
                <w:rFonts w:hint="eastAsia" w:ascii="黑体" w:hAnsi="黑体" w:eastAsia="黑体" w:cs="黑体"/>
                <w:b w:val="0"/>
                <w:bCs w:val="0"/>
                <w:kern w:val="0"/>
                <w:szCs w:val="21"/>
              </w:rPr>
            </w:pPr>
            <w:r>
              <w:rPr>
                <w:rFonts w:hint="eastAsia" w:ascii="黑体" w:hAnsi="黑体" w:eastAsia="黑体" w:cs="黑体"/>
                <w:b w:val="0"/>
                <w:bCs w:val="0"/>
                <w:kern w:val="0"/>
                <w:szCs w:val="21"/>
              </w:rPr>
              <w:t>2022年</w:t>
            </w:r>
          </w:p>
          <w:p w14:paraId="3E1D1156">
            <w:pPr>
              <w:widowControl/>
              <w:jc w:val="center"/>
              <w:rPr>
                <w:rFonts w:hint="eastAsia" w:ascii="黑体" w:hAnsi="黑体" w:eastAsia="黑体" w:cs="黑体"/>
                <w:b w:val="0"/>
                <w:bCs w:val="0"/>
                <w:kern w:val="0"/>
                <w:szCs w:val="21"/>
              </w:rPr>
            </w:pPr>
            <w:r>
              <w:rPr>
                <w:rFonts w:hint="eastAsia" w:ascii="黑体" w:hAnsi="黑体" w:eastAsia="黑体" w:cs="黑体"/>
                <w:b w:val="0"/>
                <w:bCs w:val="0"/>
                <w:kern w:val="0"/>
                <w:szCs w:val="21"/>
                <w:lang w:val="en-US" w:eastAsia="zh-CN"/>
              </w:rPr>
              <w:t>数</w:t>
            </w:r>
            <w:r>
              <w:rPr>
                <w:rFonts w:hint="eastAsia" w:ascii="黑体" w:hAnsi="黑体" w:eastAsia="黑体" w:cs="黑体"/>
                <w:b w:val="0"/>
                <w:bCs w:val="0"/>
                <w:kern w:val="0"/>
                <w:szCs w:val="21"/>
              </w:rPr>
              <w:t>值</w:t>
            </w:r>
          </w:p>
        </w:tc>
        <w:tc>
          <w:tcPr>
            <w:tcW w:w="856" w:type="dxa"/>
            <w:tcMar>
              <w:top w:w="6" w:type="dxa"/>
              <w:left w:w="17" w:type="dxa"/>
              <w:bottom w:w="6" w:type="dxa"/>
              <w:right w:w="17" w:type="dxa"/>
            </w:tcMar>
            <w:vAlign w:val="center"/>
          </w:tcPr>
          <w:p w14:paraId="38F2A2E9">
            <w:pPr>
              <w:widowControl/>
              <w:jc w:val="center"/>
              <w:rPr>
                <w:rFonts w:hint="eastAsia" w:ascii="黑体" w:hAnsi="黑体" w:eastAsia="黑体" w:cs="黑体"/>
                <w:b w:val="0"/>
                <w:bCs w:val="0"/>
                <w:kern w:val="0"/>
                <w:szCs w:val="21"/>
              </w:rPr>
            </w:pPr>
            <w:r>
              <w:rPr>
                <w:rFonts w:hint="eastAsia" w:ascii="黑体" w:hAnsi="黑体" w:eastAsia="黑体" w:cs="黑体"/>
                <w:b w:val="0"/>
                <w:bCs w:val="0"/>
                <w:kern w:val="0"/>
                <w:szCs w:val="21"/>
              </w:rPr>
              <w:t>2023年目标值</w:t>
            </w:r>
          </w:p>
        </w:tc>
        <w:tc>
          <w:tcPr>
            <w:tcW w:w="702" w:type="dxa"/>
            <w:tcMar>
              <w:top w:w="6" w:type="dxa"/>
              <w:left w:w="17" w:type="dxa"/>
              <w:bottom w:w="6" w:type="dxa"/>
              <w:right w:w="17" w:type="dxa"/>
            </w:tcMar>
            <w:vAlign w:val="center"/>
          </w:tcPr>
          <w:p w14:paraId="404E40D7">
            <w:pPr>
              <w:widowControl/>
              <w:jc w:val="center"/>
              <w:rPr>
                <w:rFonts w:hint="eastAsia" w:ascii="黑体" w:hAnsi="黑体" w:eastAsia="黑体" w:cs="黑体"/>
                <w:b w:val="0"/>
                <w:bCs w:val="0"/>
                <w:kern w:val="0"/>
                <w:szCs w:val="21"/>
              </w:rPr>
            </w:pPr>
            <w:r>
              <w:rPr>
                <w:rFonts w:hint="eastAsia" w:ascii="黑体" w:hAnsi="黑体" w:eastAsia="黑体" w:cs="黑体"/>
                <w:b w:val="0"/>
                <w:bCs w:val="0"/>
                <w:kern w:val="0"/>
                <w:szCs w:val="21"/>
              </w:rPr>
              <w:t>指标</w:t>
            </w:r>
          </w:p>
          <w:p w14:paraId="5C4ADC91">
            <w:pPr>
              <w:widowControl/>
              <w:jc w:val="center"/>
              <w:rPr>
                <w:rFonts w:hint="eastAsia" w:ascii="黑体" w:hAnsi="黑体" w:eastAsia="黑体" w:cs="黑体"/>
                <w:b w:val="0"/>
                <w:bCs w:val="0"/>
                <w:kern w:val="0"/>
                <w:szCs w:val="21"/>
              </w:rPr>
            </w:pPr>
            <w:r>
              <w:rPr>
                <w:rFonts w:hint="eastAsia" w:ascii="黑体" w:hAnsi="黑体" w:eastAsia="黑体" w:cs="黑体"/>
                <w:b w:val="0"/>
                <w:bCs w:val="0"/>
                <w:kern w:val="0"/>
                <w:szCs w:val="21"/>
              </w:rPr>
              <w:t>属性</w:t>
            </w:r>
          </w:p>
        </w:tc>
        <w:tc>
          <w:tcPr>
            <w:tcW w:w="1450" w:type="dxa"/>
            <w:tcMar>
              <w:top w:w="6" w:type="dxa"/>
              <w:left w:w="17" w:type="dxa"/>
              <w:bottom w:w="6" w:type="dxa"/>
              <w:right w:w="17" w:type="dxa"/>
            </w:tcMar>
            <w:vAlign w:val="center"/>
          </w:tcPr>
          <w:p w14:paraId="7C432AAE">
            <w:pPr>
              <w:widowControl/>
              <w:jc w:val="center"/>
              <w:rPr>
                <w:rFonts w:hint="eastAsia" w:ascii="黑体" w:hAnsi="黑体" w:eastAsia="黑体" w:cs="黑体"/>
                <w:b w:val="0"/>
                <w:bCs w:val="0"/>
                <w:kern w:val="0"/>
                <w:szCs w:val="21"/>
              </w:rPr>
            </w:pPr>
            <w:r>
              <w:rPr>
                <w:rFonts w:hint="eastAsia" w:ascii="黑体" w:hAnsi="黑体" w:eastAsia="黑体" w:cs="黑体"/>
                <w:b w:val="0"/>
                <w:bCs w:val="0"/>
                <w:kern w:val="0"/>
                <w:szCs w:val="21"/>
              </w:rPr>
              <w:t>责任部门</w:t>
            </w:r>
          </w:p>
        </w:tc>
      </w:tr>
      <w:tr w14:paraId="73EDAFB0">
        <w:trPr>
          <w:trHeight w:val="567" w:hRule="atLeast"/>
          <w:jc w:val="center"/>
        </w:trPr>
        <w:tc>
          <w:tcPr>
            <w:tcW w:w="10133" w:type="dxa"/>
            <w:gridSpan w:val="10"/>
            <w:tcMar>
              <w:top w:w="6" w:type="dxa"/>
              <w:left w:w="17" w:type="dxa"/>
              <w:bottom w:w="6" w:type="dxa"/>
              <w:right w:w="17" w:type="dxa"/>
            </w:tcMar>
            <w:vAlign w:val="center"/>
          </w:tcPr>
          <w:p w14:paraId="1D93C5CE">
            <w:pPr>
              <w:widowControl/>
              <w:jc w:val="center"/>
              <w:rPr>
                <w:rFonts w:hint="eastAsia" w:asciiTheme="minorEastAsia" w:hAnsiTheme="minorEastAsia" w:eastAsiaTheme="minorEastAsia" w:cstheme="minorEastAsia"/>
                <w:b w:val="0"/>
                <w:bCs w:val="0"/>
                <w:kern w:val="0"/>
                <w:szCs w:val="21"/>
              </w:rPr>
            </w:pPr>
            <w:r>
              <w:rPr>
                <w:rFonts w:hint="eastAsia" w:ascii="仿宋_GB2312" w:hAnsi="仿宋_GB2312" w:eastAsia="仿宋_GB2312" w:cs="仿宋_GB2312"/>
                <w:b w:val="0"/>
                <w:bCs w:val="0"/>
                <w:kern w:val="0"/>
                <w:szCs w:val="21"/>
              </w:rPr>
              <w:t>“十四五”规划内指标</w:t>
            </w:r>
          </w:p>
        </w:tc>
      </w:tr>
      <w:tr w14:paraId="7BCB4516">
        <w:trPr>
          <w:trHeight w:val="90" w:hRule="atLeast"/>
          <w:jc w:val="center"/>
        </w:trPr>
        <w:tc>
          <w:tcPr>
            <w:tcW w:w="576" w:type="dxa"/>
            <w:tcMar>
              <w:top w:w="6" w:type="dxa"/>
              <w:left w:w="17" w:type="dxa"/>
              <w:bottom w:w="6" w:type="dxa"/>
              <w:right w:w="17" w:type="dxa"/>
            </w:tcMar>
            <w:vAlign w:val="center"/>
          </w:tcPr>
          <w:p w14:paraId="64A2F58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w:t>
            </w:r>
          </w:p>
        </w:tc>
        <w:tc>
          <w:tcPr>
            <w:tcW w:w="1920" w:type="dxa"/>
            <w:gridSpan w:val="2"/>
            <w:tcMar>
              <w:top w:w="6" w:type="dxa"/>
              <w:left w:w="17" w:type="dxa"/>
              <w:bottom w:w="6" w:type="dxa"/>
              <w:right w:w="17" w:type="dxa"/>
            </w:tcMar>
            <w:vAlign w:val="center"/>
          </w:tcPr>
          <w:p w14:paraId="255B838F">
            <w:pPr>
              <w:widowControl/>
              <w:adjustRightInd w:val="0"/>
              <w:snapToGrid w:val="0"/>
              <w:jc w:val="center"/>
              <w:rPr>
                <w:rFonts w:hint="eastAsia" w:ascii="仿宋_GB2312" w:hAnsi="仿宋_GB2312" w:eastAsia="仿宋_GB2312" w:cs="仿宋_GB2312"/>
                <w:b w:val="0"/>
                <w:bCs w:val="0"/>
                <w:kern w:val="0"/>
                <w:sz w:val="21"/>
                <w:szCs w:val="21"/>
                <w:vertAlign w:val="superscript"/>
              </w:rPr>
            </w:pPr>
            <w:r>
              <w:rPr>
                <w:rFonts w:hint="eastAsia" w:ascii="仿宋_GB2312" w:hAnsi="仿宋_GB2312" w:eastAsia="仿宋_GB2312" w:cs="仿宋_GB2312"/>
                <w:b w:val="0"/>
                <w:bCs w:val="0"/>
                <w:kern w:val="0"/>
                <w:sz w:val="21"/>
                <w:szCs w:val="21"/>
              </w:rPr>
              <w:t>常住人口规模</w:t>
            </w:r>
          </w:p>
          <w:p w14:paraId="38208BAE">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（万人）</w:t>
            </w:r>
          </w:p>
        </w:tc>
        <w:tc>
          <w:tcPr>
            <w:tcW w:w="1092" w:type="dxa"/>
            <w:tcMar>
              <w:top w:w="6" w:type="dxa"/>
              <w:left w:w="17" w:type="dxa"/>
              <w:bottom w:w="6" w:type="dxa"/>
              <w:right w:w="17" w:type="dxa"/>
            </w:tcMar>
            <w:vAlign w:val="center"/>
          </w:tcPr>
          <w:p w14:paraId="11B31A3C">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312.6</w:t>
            </w:r>
          </w:p>
        </w:tc>
        <w:tc>
          <w:tcPr>
            <w:tcW w:w="1086" w:type="dxa"/>
            <w:tcMar>
              <w:top w:w="6" w:type="dxa"/>
              <w:left w:w="17" w:type="dxa"/>
              <w:bottom w:w="6" w:type="dxa"/>
              <w:right w:w="17" w:type="dxa"/>
            </w:tcMar>
            <w:vAlign w:val="center"/>
          </w:tcPr>
          <w:p w14:paraId="2881101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313</w:t>
            </w:r>
          </w:p>
        </w:tc>
        <w:tc>
          <w:tcPr>
            <w:tcW w:w="1181" w:type="dxa"/>
            <w:tcMar>
              <w:top w:w="6" w:type="dxa"/>
              <w:left w:w="17" w:type="dxa"/>
              <w:bottom w:w="6" w:type="dxa"/>
              <w:right w:w="17" w:type="dxa"/>
            </w:tcMar>
            <w:vAlign w:val="center"/>
          </w:tcPr>
          <w:p w14:paraId="6A5AD755">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&lt;313.2</w:t>
            </w:r>
          </w:p>
        </w:tc>
        <w:tc>
          <w:tcPr>
            <w:tcW w:w="1270" w:type="dxa"/>
            <w:tcMar>
              <w:top w:w="6" w:type="dxa"/>
              <w:left w:w="17" w:type="dxa"/>
              <w:bottom w:w="6" w:type="dxa"/>
              <w:right w:w="17" w:type="dxa"/>
            </w:tcMar>
            <w:vAlign w:val="center"/>
          </w:tcPr>
          <w:p w14:paraId="77475321">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&lt;313.2</w:t>
            </w:r>
          </w:p>
        </w:tc>
        <w:tc>
          <w:tcPr>
            <w:tcW w:w="856" w:type="dxa"/>
            <w:tcMar>
              <w:top w:w="6" w:type="dxa"/>
              <w:left w:w="17" w:type="dxa"/>
              <w:bottom w:w="6" w:type="dxa"/>
              <w:right w:w="17" w:type="dxa"/>
            </w:tcMar>
            <w:vAlign w:val="center"/>
          </w:tcPr>
          <w:p w14:paraId="14875BC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&lt;313.2</w:t>
            </w:r>
          </w:p>
        </w:tc>
        <w:tc>
          <w:tcPr>
            <w:tcW w:w="702" w:type="dxa"/>
            <w:tcMar>
              <w:top w:w="6" w:type="dxa"/>
              <w:left w:w="17" w:type="dxa"/>
              <w:bottom w:w="6" w:type="dxa"/>
              <w:right w:w="17" w:type="dxa"/>
            </w:tcMar>
            <w:vAlign w:val="center"/>
          </w:tcPr>
          <w:p w14:paraId="1ACE11AE">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约束性</w:t>
            </w:r>
          </w:p>
        </w:tc>
        <w:tc>
          <w:tcPr>
            <w:tcW w:w="1450" w:type="dxa"/>
            <w:tcMar>
              <w:top w:w="6" w:type="dxa"/>
              <w:left w:w="17" w:type="dxa"/>
              <w:bottom w:w="6" w:type="dxa"/>
              <w:right w:w="17" w:type="dxa"/>
            </w:tcMar>
            <w:vAlign w:val="center"/>
          </w:tcPr>
          <w:p w14:paraId="71E3322E">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区发展改革委</w:t>
            </w:r>
          </w:p>
        </w:tc>
      </w:tr>
      <w:tr w14:paraId="49E116E0">
        <w:trPr>
          <w:trHeight w:val="838" w:hRule="atLeast"/>
          <w:jc w:val="center"/>
        </w:trPr>
        <w:tc>
          <w:tcPr>
            <w:tcW w:w="576" w:type="dxa"/>
            <w:tcMar>
              <w:top w:w="6" w:type="dxa"/>
              <w:left w:w="17" w:type="dxa"/>
              <w:bottom w:w="6" w:type="dxa"/>
              <w:right w:w="17" w:type="dxa"/>
            </w:tcMar>
            <w:vAlign w:val="center"/>
          </w:tcPr>
          <w:p w14:paraId="394089EC">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2</w:t>
            </w:r>
          </w:p>
        </w:tc>
        <w:tc>
          <w:tcPr>
            <w:tcW w:w="1920" w:type="dxa"/>
            <w:gridSpan w:val="2"/>
            <w:tcMar>
              <w:top w:w="6" w:type="dxa"/>
              <w:left w:w="17" w:type="dxa"/>
              <w:bottom w:w="6" w:type="dxa"/>
              <w:right w:w="17" w:type="dxa"/>
            </w:tcMar>
            <w:vAlign w:val="center"/>
          </w:tcPr>
          <w:p w14:paraId="239C0A5B">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城乡建设用地规模（平方公里）</w:t>
            </w:r>
          </w:p>
        </w:tc>
        <w:tc>
          <w:tcPr>
            <w:tcW w:w="1092" w:type="dxa"/>
            <w:tcMar>
              <w:top w:w="6" w:type="dxa"/>
              <w:left w:w="17" w:type="dxa"/>
              <w:bottom w:w="6" w:type="dxa"/>
              <w:right w:w="17" w:type="dxa"/>
            </w:tcMar>
            <w:vAlign w:val="center"/>
          </w:tcPr>
          <w:p w14:paraId="70487D21">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达到市级</w:t>
            </w:r>
          </w:p>
          <w:p w14:paraId="4B31279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要求（降低到228）</w:t>
            </w:r>
          </w:p>
        </w:tc>
        <w:tc>
          <w:tcPr>
            <w:tcW w:w="1086" w:type="dxa"/>
            <w:tcMar>
              <w:top w:w="6" w:type="dxa"/>
              <w:left w:w="17" w:type="dxa"/>
              <w:bottom w:w="6" w:type="dxa"/>
              <w:right w:w="17" w:type="dxa"/>
            </w:tcMar>
            <w:vAlign w:val="center"/>
          </w:tcPr>
          <w:p w14:paraId="7BC74C9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完成净减1.2平方公里任务</w:t>
            </w:r>
          </w:p>
        </w:tc>
        <w:tc>
          <w:tcPr>
            <w:tcW w:w="1181" w:type="dxa"/>
            <w:tcMar>
              <w:top w:w="6" w:type="dxa"/>
              <w:left w:w="17" w:type="dxa"/>
              <w:bottom w:w="6" w:type="dxa"/>
              <w:right w:w="17" w:type="dxa"/>
            </w:tcMar>
            <w:vAlign w:val="center"/>
          </w:tcPr>
          <w:p w14:paraId="55D75A5B">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净减1.2平方公里</w:t>
            </w:r>
          </w:p>
        </w:tc>
        <w:tc>
          <w:tcPr>
            <w:tcW w:w="1270" w:type="dxa"/>
            <w:tcMar>
              <w:top w:w="6" w:type="dxa"/>
              <w:left w:w="17" w:type="dxa"/>
              <w:bottom w:w="6" w:type="dxa"/>
              <w:right w:w="17" w:type="dxa"/>
            </w:tcMar>
            <w:vAlign w:val="center"/>
          </w:tcPr>
          <w:p w14:paraId="572FAD18">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可完成</w:t>
            </w:r>
          </w:p>
        </w:tc>
        <w:tc>
          <w:tcPr>
            <w:tcW w:w="856" w:type="dxa"/>
            <w:tcMar>
              <w:top w:w="6" w:type="dxa"/>
              <w:left w:w="17" w:type="dxa"/>
              <w:bottom w:w="6" w:type="dxa"/>
              <w:right w:w="17" w:type="dxa"/>
            </w:tcMar>
            <w:vAlign w:val="center"/>
          </w:tcPr>
          <w:p w14:paraId="1B8DEC6E">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达到市级要求</w:t>
            </w:r>
          </w:p>
        </w:tc>
        <w:tc>
          <w:tcPr>
            <w:tcW w:w="702" w:type="dxa"/>
            <w:tcMar>
              <w:top w:w="6" w:type="dxa"/>
              <w:left w:w="17" w:type="dxa"/>
              <w:bottom w:w="6" w:type="dxa"/>
              <w:right w:w="17" w:type="dxa"/>
            </w:tcMar>
            <w:vAlign w:val="center"/>
          </w:tcPr>
          <w:p w14:paraId="6BDB99E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约束性</w:t>
            </w:r>
          </w:p>
        </w:tc>
        <w:tc>
          <w:tcPr>
            <w:tcW w:w="1450" w:type="dxa"/>
            <w:tcMar>
              <w:top w:w="6" w:type="dxa"/>
              <w:left w:w="17" w:type="dxa"/>
              <w:bottom w:w="6" w:type="dxa"/>
              <w:right w:w="17" w:type="dxa"/>
            </w:tcMar>
            <w:vAlign w:val="center"/>
          </w:tcPr>
          <w:p w14:paraId="7576BE07">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市规划自然资源委海淀分局</w:t>
            </w:r>
          </w:p>
        </w:tc>
      </w:tr>
      <w:tr w14:paraId="24FE65B0">
        <w:trPr>
          <w:trHeight w:val="567" w:hRule="atLeast"/>
          <w:jc w:val="center"/>
        </w:trPr>
        <w:tc>
          <w:tcPr>
            <w:tcW w:w="576" w:type="dxa"/>
            <w:tcMar>
              <w:top w:w="6" w:type="dxa"/>
              <w:left w:w="17" w:type="dxa"/>
              <w:bottom w:w="6" w:type="dxa"/>
              <w:right w:w="17" w:type="dxa"/>
            </w:tcMar>
            <w:vAlign w:val="center"/>
          </w:tcPr>
          <w:p w14:paraId="0615A1F1">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w:t>
            </w:r>
          </w:p>
        </w:tc>
        <w:tc>
          <w:tcPr>
            <w:tcW w:w="1920" w:type="dxa"/>
            <w:gridSpan w:val="2"/>
            <w:tcMar>
              <w:top w:w="6" w:type="dxa"/>
              <w:left w:w="17" w:type="dxa"/>
              <w:bottom w:w="6" w:type="dxa"/>
              <w:right w:w="17" w:type="dxa"/>
            </w:tcMar>
            <w:vAlign w:val="center"/>
          </w:tcPr>
          <w:p w14:paraId="40DAD2FD">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生产生活用水总量（亿立方米）</w:t>
            </w:r>
          </w:p>
        </w:tc>
        <w:tc>
          <w:tcPr>
            <w:tcW w:w="1092" w:type="dxa"/>
            <w:tcMar>
              <w:top w:w="6" w:type="dxa"/>
              <w:left w:w="17" w:type="dxa"/>
              <w:bottom w:w="6" w:type="dxa"/>
              <w:right w:w="17" w:type="dxa"/>
            </w:tcMar>
            <w:vAlign w:val="center"/>
          </w:tcPr>
          <w:p w14:paraId="724D1EC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达到市级</w:t>
            </w:r>
          </w:p>
          <w:p w14:paraId="4C3D4D48">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要求（3.2）</w:t>
            </w:r>
          </w:p>
        </w:tc>
        <w:tc>
          <w:tcPr>
            <w:tcW w:w="1086" w:type="dxa"/>
            <w:tcMar>
              <w:top w:w="6" w:type="dxa"/>
              <w:left w:w="17" w:type="dxa"/>
              <w:bottom w:w="6" w:type="dxa"/>
              <w:right w:w="17" w:type="dxa"/>
            </w:tcMar>
            <w:vAlign w:val="center"/>
          </w:tcPr>
          <w:p w14:paraId="672857A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2.9</w:t>
            </w:r>
          </w:p>
        </w:tc>
        <w:tc>
          <w:tcPr>
            <w:tcW w:w="1181" w:type="dxa"/>
            <w:tcMar>
              <w:top w:w="6" w:type="dxa"/>
              <w:left w:w="17" w:type="dxa"/>
              <w:bottom w:w="6" w:type="dxa"/>
              <w:right w:w="17" w:type="dxa"/>
            </w:tcMar>
            <w:vAlign w:val="center"/>
          </w:tcPr>
          <w:p w14:paraId="6752B89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达到市级</w:t>
            </w:r>
          </w:p>
          <w:p w14:paraId="58603CA7">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要求（3.2）</w:t>
            </w:r>
          </w:p>
        </w:tc>
        <w:tc>
          <w:tcPr>
            <w:tcW w:w="1270" w:type="dxa"/>
            <w:tcMar>
              <w:top w:w="6" w:type="dxa"/>
              <w:left w:w="17" w:type="dxa"/>
              <w:bottom w:w="6" w:type="dxa"/>
              <w:right w:w="17" w:type="dxa"/>
            </w:tcMar>
            <w:vAlign w:val="center"/>
          </w:tcPr>
          <w:p w14:paraId="67E0C3C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2.8</w:t>
            </w:r>
          </w:p>
        </w:tc>
        <w:tc>
          <w:tcPr>
            <w:tcW w:w="856" w:type="dxa"/>
            <w:tcMar>
              <w:top w:w="6" w:type="dxa"/>
              <w:left w:w="17" w:type="dxa"/>
              <w:bottom w:w="6" w:type="dxa"/>
              <w:right w:w="17" w:type="dxa"/>
            </w:tcMar>
            <w:vAlign w:val="center"/>
          </w:tcPr>
          <w:p w14:paraId="2B5035A5">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&lt;3.2</w:t>
            </w:r>
          </w:p>
        </w:tc>
        <w:tc>
          <w:tcPr>
            <w:tcW w:w="702" w:type="dxa"/>
            <w:tcMar>
              <w:top w:w="6" w:type="dxa"/>
              <w:left w:w="17" w:type="dxa"/>
              <w:bottom w:w="6" w:type="dxa"/>
              <w:right w:w="17" w:type="dxa"/>
            </w:tcMar>
            <w:vAlign w:val="center"/>
          </w:tcPr>
          <w:p w14:paraId="0B2F6895">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约束性</w:t>
            </w:r>
          </w:p>
        </w:tc>
        <w:tc>
          <w:tcPr>
            <w:tcW w:w="1450" w:type="dxa"/>
            <w:tcMar>
              <w:top w:w="6" w:type="dxa"/>
              <w:left w:w="17" w:type="dxa"/>
              <w:bottom w:w="6" w:type="dxa"/>
              <w:right w:w="17" w:type="dxa"/>
            </w:tcMar>
            <w:vAlign w:val="center"/>
          </w:tcPr>
          <w:p w14:paraId="3390A0B2">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区水务局</w:t>
            </w:r>
          </w:p>
        </w:tc>
      </w:tr>
      <w:tr w14:paraId="6D9A6463">
        <w:trPr>
          <w:trHeight w:val="567" w:hRule="atLeast"/>
          <w:jc w:val="center"/>
        </w:trPr>
        <w:tc>
          <w:tcPr>
            <w:tcW w:w="576" w:type="dxa"/>
            <w:tcMar>
              <w:top w:w="6" w:type="dxa"/>
              <w:left w:w="17" w:type="dxa"/>
              <w:bottom w:w="6" w:type="dxa"/>
              <w:right w:w="17" w:type="dxa"/>
            </w:tcMar>
            <w:vAlign w:val="center"/>
          </w:tcPr>
          <w:p w14:paraId="3CC7F20C">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4</w:t>
            </w:r>
          </w:p>
        </w:tc>
        <w:tc>
          <w:tcPr>
            <w:tcW w:w="1920" w:type="dxa"/>
            <w:gridSpan w:val="2"/>
            <w:tcMar>
              <w:top w:w="6" w:type="dxa"/>
              <w:left w:w="17" w:type="dxa"/>
              <w:bottom w:w="6" w:type="dxa"/>
              <w:right w:w="17" w:type="dxa"/>
            </w:tcMar>
            <w:vAlign w:val="center"/>
          </w:tcPr>
          <w:p w14:paraId="68E5844E">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地区生产总值</w:t>
            </w:r>
          </w:p>
          <w:p w14:paraId="3A2DD7A2">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增速（%）</w:t>
            </w:r>
          </w:p>
        </w:tc>
        <w:tc>
          <w:tcPr>
            <w:tcW w:w="1092" w:type="dxa"/>
            <w:tcMar>
              <w:top w:w="6" w:type="dxa"/>
              <w:left w:w="17" w:type="dxa"/>
              <w:bottom w:w="6" w:type="dxa"/>
              <w:right w:w="17" w:type="dxa"/>
            </w:tcMar>
            <w:vAlign w:val="center"/>
          </w:tcPr>
          <w:p w14:paraId="6E09FF44">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6</w:t>
            </w:r>
          </w:p>
        </w:tc>
        <w:tc>
          <w:tcPr>
            <w:tcW w:w="1086" w:type="dxa"/>
            <w:tcMar>
              <w:top w:w="6" w:type="dxa"/>
              <w:left w:w="17" w:type="dxa"/>
              <w:bottom w:w="6" w:type="dxa"/>
              <w:right w:w="17" w:type="dxa"/>
            </w:tcMar>
            <w:vAlign w:val="center"/>
          </w:tcPr>
          <w:p w14:paraId="394A660C">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8.8</w:t>
            </w:r>
          </w:p>
        </w:tc>
        <w:tc>
          <w:tcPr>
            <w:tcW w:w="1181" w:type="dxa"/>
            <w:tcMar>
              <w:top w:w="6" w:type="dxa"/>
              <w:left w:w="17" w:type="dxa"/>
              <w:bottom w:w="6" w:type="dxa"/>
              <w:right w:w="17" w:type="dxa"/>
            </w:tcMar>
            <w:vAlign w:val="center"/>
          </w:tcPr>
          <w:p w14:paraId="4C85E35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6以上</w:t>
            </w:r>
          </w:p>
        </w:tc>
        <w:tc>
          <w:tcPr>
            <w:tcW w:w="1270" w:type="dxa"/>
            <w:tcMar>
              <w:top w:w="6" w:type="dxa"/>
              <w:left w:w="17" w:type="dxa"/>
              <w:bottom w:w="6" w:type="dxa"/>
              <w:right w:w="17" w:type="dxa"/>
            </w:tcMar>
            <w:vAlign w:val="center"/>
          </w:tcPr>
          <w:p w14:paraId="6E9F6F32">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4</w:t>
            </w:r>
          </w:p>
        </w:tc>
        <w:tc>
          <w:tcPr>
            <w:tcW w:w="856" w:type="dxa"/>
            <w:tcMar>
              <w:top w:w="6" w:type="dxa"/>
              <w:left w:w="17" w:type="dxa"/>
              <w:bottom w:w="6" w:type="dxa"/>
              <w:right w:w="17" w:type="dxa"/>
            </w:tcMar>
            <w:vAlign w:val="center"/>
          </w:tcPr>
          <w:p w14:paraId="4E7C15E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6</w:t>
            </w:r>
          </w:p>
        </w:tc>
        <w:tc>
          <w:tcPr>
            <w:tcW w:w="702" w:type="dxa"/>
            <w:tcMar>
              <w:top w:w="6" w:type="dxa"/>
              <w:left w:w="17" w:type="dxa"/>
              <w:bottom w:w="6" w:type="dxa"/>
              <w:right w:w="17" w:type="dxa"/>
            </w:tcMar>
            <w:vAlign w:val="center"/>
          </w:tcPr>
          <w:p w14:paraId="3BD1F83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预期性</w:t>
            </w:r>
          </w:p>
        </w:tc>
        <w:tc>
          <w:tcPr>
            <w:tcW w:w="1450" w:type="dxa"/>
            <w:tcMar>
              <w:top w:w="6" w:type="dxa"/>
              <w:left w:w="17" w:type="dxa"/>
              <w:bottom w:w="6" w:type="dxa"/>
              <w:right w:w="17" w:type="dxa"/>
            </w:tcMar>
            <w:vAlign w:val="center"/>
          </w:tcPr>
          <w:p w14:paraId="02C1868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区发展改革委</w:t>
            </w:r>
          </w:p>
        </w:tc>
      </w:tr>
      <w:tr w14:paraId="15E15E1F">
        <w:trPr>
          <w:trHeight w:val="567" w:hRule="atLeast"/>
          <w:jc w:val="center"/>
        </w:trPr>
        <w:tc>
          <w:tcPr>
            <w:tcW w:w="576" w:type="dxa"/>
            <w:tcMar>
              <w:top w:w="6" w:type="dxa"/>
              <w:left w:w="17" w:type="dxa"/>
              <w:bottom w:w="6" w:type="dxa"/>
              <w:right w:w="17" w:type="dxa"/>
            </w:tcMar>
            <w:vAlign w:val="center"/>
          </w:tcPr>
          <w:p w14:paraId="662B5D9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5</w:t>
            </w:r>
          </w:p>
        </w:tc>
        <w:tc>
          <w:tcPr>
            <w:tcW w:w="1920" w:type="dxa"/>
            <w:gridSpan w:val="2"/>
            <w:tcMar>
              <w:top w:w="6" w:type="dxa"/>
              <w:left w:w="17" w:type="dxa"/>
              <w:bottom w:w="6" w:type="dxa"/>
              <w:right w:w="17" w:type="dxa"/>
            </w:tcMar>
            <w:vAlign w:val="center"/>
          </w:tcPr>
          <w:p w14:paraId="0B610265">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劳动生产率</w:t>
            </w:r>
          </w:p>
          <w:p w14:paraId="5808E5B1">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（万元/人）</w:t>
            </w:r>
          </w:p>
        </w:tc>
        <w:tc>
          <w:tcPr>
            <w:tcW w:w="1092" w:type="dxa"/>
            <w:tcMar>
              <w:top w:w="6" w:type="dxa"/>
              <w:left w:w="17" w:type="dxa"/>
              <w:bottom w:w="6" w:type="dxa"/>
              <w:right w:w="17" w:type="dxa"/>
            </w:tcMar>
            <w:vAlign w:val="center"/>
          </w:tcPr>
          <w:p w14:paraId="33F781A5">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38</w:t>
            </w:r>
          </w:p>
        </w:tc>
        <w:tc>
          <w:tcPr>
            <w:tcW w:w="1086" w:type="dxa"/>
            <w:tcMar>
              <w:top w:w="6" w:type="dxa"/>
              <w:left w:w="17" w:type="dxa"/>
              <w:bottom w:w="6" w:type="dxa"/>
              <w:right w:w="17" w:type="dxa"/>
            </w:tcMar>
            <w:vAlign w:val="center"/>
          </w:tcPr>
          <w:p w14:paraId="285F8E7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39.4</w:t>
            </w:r>
          </w:p>
        </w:tc>
        <w:tc>
          <w:tcPr>
            <w:tcW w:w="1181" w:type="dxa"/>
            <w:tcMar>
              <w:top w:w="6" w:type="dxa"/>
              <w:left w:w="17" w:type="dxa"/>
              <w:bottom w:w="6" w:type="dxa"/>
              <w:right w:w="17" w:type="dxa"/>
            </w:tcMar>
            <w:vAlign w:val="center"/>
          </w:tcPr>
          <w:p w14:paraId="759B7FDE">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35左右</w:t>
            </w:r>
          </w:p>
        </w:tc>
        <w:tc>
          <w:tcPr>
            <w:tcW w:w="1270" w:type="dxa"/>
            <w:tcMar>
              <w:top w:w="6" w:type="dxa"/>
              <w:left w:w="17" w:type="dxa"/>
              <w:bottom w:w="6" w:type="dxa"/>
              <w:right w:w="17" w:type="dxa"/>
            </w:tcMar>
            <w:vAlign w:val="center"/>
          </w:tcPr>
          <w:p w14:paraId="02758C77">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35左右</w:t>
            </w:r>
          </w:p>
        </w:tc>
        <w:tc>
          <w:tcPr>
            <w:tcW w:w="856" w:type="dxa"/>
            <w:tcMar>
              <w:top w:w="6" w:type="dxa"/>
              <w:left w:w="17" w:type="dxa"/>
              <w:bottom w:w="6" w:type="dxa"/>
              <w:right w:w="17" w:type="dxa"/>
            </w:tcMar>
            <w:vAlign w:val="center"/>
          </w:tcPr>
          <w:p w14:paraId="41A64686">
            <w:pPr>
              <w:widowControl/>
              <w:jc w:val="center"/>
              <w:textAlignment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36左右</w:t>
            </w:r>
          </w:p>
        </w:tc>
        <w:tc>
          <w:tcPr>
            <w:tcW w:w="702" w:type="dxa"/>
            <w:tcMar>
              <w:top w:w="6" w:type="dxa"/>
              <w:left w:w="17" w:type="dxa"/>
              <w:bottom w:w="6" w:type="dxa"/>
              <w:right w:w="17" w:type="dxa"/>
            </w:tcMar>
            <w:vAlign w:val="center"/>
          </w:tcPr>
          <w:p w14:paraId="020C67A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预期性</w:t>
            </w:r>
          </w:p>
        </w:tc>
        <w:tc>
          <w:tcPr>
            <w:tcW w:w="1450" w:type="dxa"/>
            <w:tcMar>
              <w:top w:w="6" w:type="dxa"/>
              <w:left w:w="17" w:type="dxa"/>
              <w:bottom w:w="6" w:type="dxa"/>
              <w:right w:w="17" w:type="dxa"/>
            </w:tcMar>
            <w:vAlign w:val="center"/>
          </w:tcPr>
          <w:p w14:paraId="10FCFBF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区发展改革委</w:t>
            </w:r>
          </w:p>
        </w:tc>
      </w:tr>
      <w:tr w14:paraId="7AA265CF">
        <w:trPr>
          <w:trHeight w:val="567" w:hRule="atLeast"/>
          <w:jc w:val="center"/>
        </w:trPr>
        <w:tc>
          <w:tcPr>
            <w:tcW w:w="576" w:type="dxa"/>
            <w:tcMar>
              <w:top w:w="6" w:type="dxa"/>
              <w:left w:w="17" w:type="dxa"/>
              <w:bottom w:w="6" w:type="dxa"/>
              <w:right w:w="17" w:type="dxa"/>
            </w:tcMar>
            <w:vAlign w:val="center"/>
          </w:tcPr>
          <w:p w14:paraId="6473E5E2">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6</w:t>
            </w:r>
          </w:p>
        </w:tc>
        <w:tc>
          <w:tcPr>
            <w:tcW w:w="1920" w:type="dxa"/>
            <w:gridSpan w:val="2"/>
            <w:tcMar>
              <w:top w:w="6" w:type="dxa"/>
              <w:left w:w="17" w:type="dxa"/>
              <w:bottom w:w="6" w:type="dxa"/>
              <w:right w:w="17" w:type="dxa"/>
            </w:tcMar>
            <w:vAlign w:val="center"/>
          </w:tcPr>
          <w:p w14:paraId="14EB9FF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全社会研究与试验发展经费支出占地区生产总值的</w:t>
            </w:r>
          </w:p>
          <w:p w14:paraId="7267627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比重（%）</w:t>
            </w:r>
          </w:p>
        </w:tc>
        <w:tc>
          <w:tcPr>
            <w:tcW w:w="1092" w:type="dxa"/>
            <w:tcMar>
              <w:top w:w="6" w:type="dxa"/>
              <w:left w:w="17" w:type="dxa"/>
              <w:bottom w:w="6" w:type="dxa"/>
              <w:right w:w="17" w:type="dxa"/>
            </w:tcMar>
            <w:vAlign w:val="center"/>
          </w:tcPr>
          <w:p w14:paraId="07AD0EF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11</w:t>
            </w:r>
          </w:p>
        </w:tc>
        <w:tc>
          <w:tcPr>
            <w:tcW w:w="1086" w:type="dxa"/>
            <w:tcMar>
              <w:top w:w="6" w:type="dxa"/>
              <w:left w:w="17" w:type="dxa"/>
              <w:bottom w:w="6" w:type="dxa"/>
              <w:right w:w="17" w:type="dxa"/>
            </w:tcMar>
            <w:vAlign w:val="center"/>
          </w:tcPr>
          <w:p w14:paraId="2057262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12.6</w:t>
            </w:r>
          </w:p>
        </w:tc>
        <w:tc>
          <w:tcPr>
            <w:tcW w:w="1181" w:type="dxa"/>
            <w:tcMar>
              <w:top w:w="6" w:type="dxa"/>
              <w:left w:w="17" w:type="dxa"/>
              <w:bottom w:w="6" w:type="dxa"/>
              <w:right w:w="17" w:type="dxa"/>
            </w:tcMar>
            <w:vAlign w:val="center"/>
          </w:tcPr>
          <w:p w14:paraId="081A74D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10以上</w:t>
            </w:r>
          </w:p>
        </w:tc>
        <w:tc>
          <w:tcPr>
            <w:tcW w:w="1270" w:type="dxa"/>
            <w:tcMar>
              <w:top w:w="6" w:type="dxa"/>
              <w:left w:w="17" w:type="dxa"/>
              <w:bottom w:w="6" w:type="dxa"/>
              <w:right w:w="17" w:type="dxa"/>
            </w:tcMar>
            <w:vAlign w:val="center"/>
          </w:tcPr>
          <w:p w14:paraId="1C7D838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10以上</w:t>
            </w:r>
          </w:p>
        </w:tc>
        <w:tc>
          <w:tcPr>
            <w:tcW w:w="856" w:type="dxa"/>
            <w:tcMar>
              <w:top w:w="6" w:type="dxa"/>
              <w:left w:w="17" w:type="dxa"/>
              <w:bottom w:w="6" w:type="dxa"/>
              <w:right w:w="17" w:type="dxa"/>
            </w:tcMar>
            <w:vAlign w:val="center"/>
          </w:tcPr>
          <w:p w14:paraId="6C12A942">
            <w:pPr>
              <w:widowControl/>
              <w:jc w:val="center"/>
              <w:textAlignment w:val="center"/>
              <w:rPr>
                <w:rFonts w:hint="eastAsia" w:ascii="仿宋_GB2312" w:hAnsi="仿宋_GB2312" w:eastAsia="仿宋_GB2312" w:cs="仿宋_GB2312"/>
                <w:b w:val="0"/>
                <w:bCs w:val="0"/>
                <w:kern w:val="0"/>
                <w:sz w:val="21"/>
                <w:szCs w:val="21"/>
                <w:lang w:bidi="ar"/>
              </w:rPr>
            </w:pPr>
            <w:r>
              <w:rPr>
                <w:rFonts w:hint="eastAsia" w:ascii="仿宋_GB2312" w:hAnsi="仿宋_GB2312" w:eastAsia="仿宋_GB2312" w:cs="仿宋_GB2312"/>
                <w:b w:val="0"/>
                <w:bCs w:val="0"/>
                <w:kern w:val="0"/>
                <w:sz w:val="21"/>
                <w:szCs w:val="21"/>
                <w:lang w:bidi="ar"/>
              </w:rPr>
              <w:t>10.5</w:t>
            </w:r>
          </w:p>
          <w:p w14:paraId="265410CD">
            <w:pPr>
              <w:widowControl/>
              <w:jc w:val="center"/>
              <w:textAlignment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左右</w:t>
            </w:r>
          </w:p>
        </w:tc>
        <w:tc>
          <w:tcPr>
            <w:tcW w:w="702" w:type="dxa"/>
            <w:tcMar>
              <w:top w:w="6" w:type="dxa"/>
              <w:left w:w="17" w:type="dxa"/>
              <w:bottom w:w="6" w:type="dxa"/>
              <w:right w:w="17" w:type="dxa"/>
            </w:tcMar>
            <w:vAlign w:val="center"/>
          </w:tcPr>
          <w:p w14:paraId="5D903AE3">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预期性</w:t>
            </w:r>
          </w:p>
        </w:tc>
        <w:tc>
          <w:tcPr>
            <w:tcW w:w="1450" w:type="dxa"/>
            <w:tcMar>
              <w:top w:w="6" w:type="dxa"/>
              <w:left w:w="17" w:type="dxa"/>
              <w:bottom w:w="6" w:type="dxa"/>
              <w:right w:w="17" w:type="dxa"/>
            </w:tcMar>
            <w:vAlign w:val="center"/>
          </w:tcPr>
          <w:p w14:paraId="2455918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中关村科学城综合部</w:t>
            </w:r>
          </w:p>
        </w:tc>
      </w:tr>
      <w:tr w14:paraId="2F827509">
        <w:trPr>
          <w:trHeight w:val="567" w:hRule="atLeast"/>
          <w:jc w:val="center"/>
        </w:trPr>
        <w:tc>
          <w:tcPr>
            <w:tcW w:w="576" w:type="dxa"/>
            <w:tcMar>
              <w:top w:w="6" w:type="dxa"/>
              <w:left w:w="17" w:type="dxa"/>
              <w:bottom w:w="6" w:type="dxa"/>
              <w:right w:w="17" w:type="dxa"/>
            </w:tcMar>
            <w:vAlign w:val="center"/>
          </w:tcPr>
          <w:p w14:paraId="01404F4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7</w:t>
            </w:r>
          </w:p>
        </w:tc>
        <w:tc>
          <w:tcPr>
            <w:tcW w:w="1920" w:type="dxa"/>
            <w:gridSpan w:val="2"/>
            <w:tcMar>
              <w:top w:w="6" w:type="dxa"/>
              <w:left w:w="17" w:type="dxa"/>
              <w:bottom w:w="6" w:type="dxa"/>
              <w:right w:w="17" w:type="dxa"/>
            </w:tcMar>
            <w:vAlign w:val="center"/>
          </w:tcPr>
          <w:p w14:paraId="76B1DD02">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园区企业研发投入强度(%)</w:t>
            </w:r>
          </w:p>
        </w:tc>
        <w:tc>
          <w:tcPr>
            <w:tcW w:w="1092" w:type="dxa"/>
            <w:tcMar>
              <w:top w:w="6" w:type="dxa"/>
              <w:left w:w="17" w:type="dxa"/>
              <w:bottom w:w="6" w:type="dxa"/>
              <w:right w:w="17" w:type="dxa"/>
            </w:tcMar>
            <w:vAlign w:val="center"/>
          </w:tcPr>
          <w:p w14:paraId="1177EDB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6.2</w:t>
            </w:r>
          </w:p>
        </w:tc>
        <w:tc>
          <w:tcPr>
            <w:tcW w:w="1086" w:type="dxa"/>
            <w:tcMar>
              <w:top w:w="6" w:type="dxa"/>
              <w:left w:w="17" w:type="dxa"/>
              <w:bottom w:w="6" w:type="dxa"/>
              <w:right w:w="17" w:type="dxa"/>
            </w:tcMar>
            <w:vAlign w:val="center"/>
          </w:tcPr>
          <w:p w14:paraId="5037A5B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6.2</w:t>
            </w:r>
          </w:p>
        </w:tc>
        <w:tc>
          <w:tcPr>
            <w:tcW w:w="1181" w:type="dxa"/>
            <w:tcMar>
              <w:top w:w="6" w:type="dxa"/>
              <w:left w:w="17" w:type="dxa"/>
              <w:bottom w:w="6" w:type="dxa"/>
              <w:right w:w="17" w:type="dxa"/>
            </w:tcMar>
            <w:vAlign w:val="center"/>
          </w:tcPr>
          <w:p w14:paraId="5A724CAE">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6以上</w:t>
            </w:r>
          </w:p>
        </w:tc>
        <w:tc>
          <w:tcPr>
            <w:tcW w:w="1270" w:type="dxa"/>
            <w:tcMar>
              <w:top w:w="6" w:type="dxa"/>
              <w:left w:w="17" w:type="dxa"/>
              <w:bottom w:w="6" w:type="dxa"/>
              <w:right w:w="17" w:type="dxa"/>
            </w:tcMar>
            <w:vAlign w:val="center"/>
          </w:tcPr>
          <w:p w14:paraId="7B2CCC8E">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6.6</w:t>
            </w:r>
          </w:p>
        </w:tc>
        <w:tc>
          <w:tcPr>
            <w:tcW w:w="856" w:type="dxa"/>
            <w:tcMar>
              <w:top w:w="6" w:type="dxa"/>
              <w:left w:w="17" w:type="dxa"/>
              <w:bottom w:w="6" w:type="dxa"/>
              <w:right w:w="17" w:type="dxa"/>
            </w:tcMar>
            <w:vAlign w:val="center"/>
          </w:tcPr>
          <w:p w14:paraId="2A1EDD79">
            <w:pPr>
              <w:widowControl/>
              <w:jc w:val="center"/>
              <w:textAlignment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6以上</w:t>
            </w:r>
          </w:p>
        </w:tc>
        <w:tc>
          <w:tcPr>
            <w:tcW w:w="702" w:type="dxa"/>
            <w:tcMar>
              <w:top w:w="6" w:type="dxa"/>
              <w:left w:w="17" w:type="dxa"/>
              <w:bottom w:w="6" w:type="dxa"/>
              <w:right w:w="17" w:type="dxa"/>
            </w:tcMar>
            <w:vAlign w:val="center"/>
          </w:tcPr>
          <w:p w14:paraId="0069BA5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预期性</w:t>
            </w:r>
          </w:p>
        </w:tc>
        <w:tc>
          <w:tcPr>
            <w:tcW w:w="1450" w:type="dxa"/>
            <w:tcMar>
              <w:top w:w="6" w:type="dxa"/>
              <w:left w:w="17" w:type="dxa"/>
              <w:bottom w:w="6" w:type="dxa"/>
              <w:right w:w="17" w:type="dxa"/>
            </w:tcMar>
            <w:vAlign w:val="center"/>
          </w:tcPr>
          <w:p w14:paraId="2FE55264">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中关村科学城综合部</w:t>
            </w:r>
          </w:p>
        </w:tc>
      </w:tr>
      <w:tr w14:paraId="2C776E97">
        <w:trPr>
          <w:trHeight w:val="567" w:hRule="atLeast"/>
          <w:jc w:val="center"/>
        </w:trPr>
        <w:tc>
          <w:tcPr>
            <w:tcW w:w="576" w:type="dxa"/>
            <w:tcMar>
              <w:top w:w="6" w:type="dxa"/>
              <w:left w:w="17" w:type="dxa"/>
              <w:bottom w:w="6" w:type="dxa"/>
              <w:right w:w="17" w:type="dxa"/>
            </w:tcMar>
            <w:vAlign w:val="center"/>
          </w:tcPr>
          <w:p w14:paraId="7D6851C4">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8</w:t>
            </w:r>
          </w:p>
        </w:tc>
        <w:tc>
          <w:tcPr>
            <w:tcW w:w="1920" w:type="dxa"/>
            <w:gridSpan w:val="2"/>
            <w:tcMar>
              <w:top w:w="6" w:type="dxa"/>
              <w:left w:w="17" w:type="dxa"/>
              <w:bottom w:w="6" w:type="dxa"/>
              <w:right w:w="17" w:type="dxa"/>
            </w:tcMar>
            <w:vAlign w:val="center"/>
          </w:tcPr>
          <w:p w14:paraId="512BDFC1">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技术合同成交额</w:t>
            </w:r>
          </w:p>
          <w:p w14:paraId="3FA187FC">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增速（%）</w:t>
            </w:r>
          </w:p>
        </w:tc>
        <w:tc>
          <w:tcPr>
            <w:tcW w:w="1092" w:type="dxa"/>
            <w:tcMar>
              <w:top w:w="6" w:type="dxa"/>
              <w:left w:w="17" w:type="dxa"/>
              <w:bottom w:w="6" w:type="dxa"/>
              <w:right w:w="17" w:type="dxa"/>
            </w:tcMar>
            <w:vAlign w:val="center"/>
          </w:tcPr>
          <w:p w14:paraId="7437474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6</w:t>
            </w:r>
          </w:p>
        </w:tc>
        <w:tc>
          <w:tcPr>
            <w:tcW w:w="1086" w:type="dxa"/>
            <w:tcMar>
              <w:top w:w="6" w:type="dxa"/>
              <w:left w:w="17" w:type="dxa"/>
              <w:bottom w:w="6" w:type="dxa"/>
              <w:right w:w="17" w:type="dxa"/>
            </w:tcMar>
            <w:vAlign w:val="center"/>
          </w:tcPr>
          <w:p w14:paraId="0A572193">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43.2</w:t>
            </w:r>
          </w:p>
        </w:tc>
        <w:tc>
          <w:tcPr>
            <w:tcW w:w="1181" w:type="dxa"/>
            <w:tcMar>
              <w:top w:w="6" w:type="dxa"/>
              <w:left w:w="17" w:type="dxa"/>
              <w:bottom w:w="6" w:type="dxa"/>
              <w:right w:w="17" w:type="dxa"/>
            </w:tcMar>
            <w:vAlign w:val="center"/>
          </w:tcPr>
          <w:p w14:paraId="038FB271">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6左右</w:t>
            </w:r>
          </w:p>
        </w:tc>
        <w:tc>
          <w:tcPr>
            <w:tcW w:w="1270" w:type="dxa"/>
            <w:tcMar>
              <w:top w:w="6" w:type="dxa"/>
              <w:left w:w="17" w:type="dxa"/>
              <w:bottom w:w="6" w:type="dxa"/>
              <w:right w:w="17" w:type="dxa"/>
            </w:tcMar>
            <w:vAlign w:val="center"/>
          </w:tcPr>
          <w:p w14:paraId="646D4B64">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15</w:t>
            </w:r>
          </w:p>
        </w:tc>
        <w:tc>
          <w:tcPr>
            <w:tcW w:w="856" w:type="dxa"/>
            <w:tcMar>
              <w:top w:w="6" w:type="dxa"/>
              <w:left w:w="17" w:type="dxa"/>
              <w:bottom w:w="6" w:type="dxa"/>
              <w:right w:w="17" w:type="dxa"/>
            </w:tcMar>
            <w:vAlign w:val="center"/>
          </w:tcPr>
          <w:p w14:paraId="25C98511">
            <w:pPr>
              <w:widowControl/>
              <w:jc w:val="center"/>
              <w:textAlignment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6</w:t>
            </w:r>
          </w:p>
        </w:tc>
        <w:tc>
          <w:tcPr>
            <w:tcW w:w="702" w:type="dxa"/>
            <w:tcMar>
              <w:top w:w="6" w:type="dxa"/>
              <w:left w:w="17" w:type="dxa"/>
              <w:bottom w:w="6" w:type="dxa"/>
              <w:right w:w="17" w:type="dxa"/>
            </w:tcMar>
            <w:vAlign w:val="center"/>
          </w:tcPr>
          <w:p w14:paraId="6DB6A7BC">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预期性</w:t>
            </w:r>
          </w:p>
        </w:tc>
        <w:tc>
          <w:tcPr>
            <w:tcW w:w="1450" w:type="dxa"/>
            <w:tcMar>
              <w:top w:w="6" w:type="dxa"/>
              <w:left w:w="17" w:type="dxa"/>
              <w:bottom w:w="6" w:type="dxa"/>
              <w:right w:w="17" w:type="dxa"/>
            </w:tcMar>
            <w:vAlign w:val="center"/>
          </w:tcPr>
          <w:p w14:paraId="34BFBE42">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中关村科学城综合部</w:t>
            </w:r>
          </w:p>
        </w:tc>
      </w:tr>
      <w:tr w14:paraId="003AF811">
        <w:trPr>
          <w:trHeight w:val="567" w:hRule="atLeast"/>
          <w:jc w:val="center"/>
        </w:trPr>
        <w:tc>
          <w:tcPr>
            <w:tcW w:w="576" w:type="dxa"/>
            <w:tcMar>
              <w:top w:w="6" w:type="dxa"/>
              <w:left w:w="17" w:type="dxa"/>
              <w:bottom w:w="6" w:type="dxa"/>
              <w:right w:w="17" w:type="dxa"/>
            </w:tcMar>
            <w:vAlign w:val="center"/>
          </w:tcPr>
          <w:p w14:paraId="58287F3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9</w:t>
            </w:r>
          </w:p>
        </w:tc>
        <w:tc>
          <w:tcPr>
            <w:tcW w:w="1920" w:type="dxa"/>
            <w:gridSpan w:val="2"/>
            <w:tcMar>
              <w:top w:w="6" w:type="dxa"/>
              <w:left w:w="17" w:type="dxa"/>
              <w:bottom w:w="6" w:type="dxa"/>
              <w:right w:w="17" w:type="dxa"/>
            </w:tcMar>
            <w:vAlign w:val="center"/>
          </w:tcPr>
          <w:p w14:paraId="730111DB">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PCT专利申请量（件）</w:t>
            </w:r>
          </w:p>
        </w:tc>
        <w:tc>
          <w:tcPr>
            <w:tcW w:w="1092" w:type="dxa"/>
            <w:tcMar>
              <w:top w:w="6" w:type="dxa"/>
              <w:left w:w="17" w:type="dxa"/>
              <w:bottom w:w="6" w:type="dxa"/>
              <w:right w:w="17" w:type="dxa"/>
            </w:tcMar>
            <w:vAlign w:val="center"/>
          </w:tcPr>
          <w:p w14:paraId="41A9CA8D">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5000</w:t>
            </w:r>
          </w:p>
        </w:tc>
        <w:tc>
          <w:tcPr>
            <w:tcW w:w="1086" w:type="dxa"/>
            <w:tcMar>
              <w:top w:w="6" w:type="dxa"/>
              <w:left w:w="17" w:type="dxa"/>
              <w:bottom w:w="6" w:type="dxa"/>
              <w:right w:w="17" w:type="dxa"/>
            </w:tcMar>
            <w:vAlign w:val="center"/>
          </w:tcPr>
          <w:p w14:paraId="1631C8C8">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4085</w:t>
            </w:r>
          </w:p>
        </w:tc>
        <w:tc>
          <w:tcPr>
            <w:tcW w:w="1181" w:type="dxa"/>
            <w:tcMar>
              <w:top w:w="6" w:type="dxa"/>
              <w:left w:w="17" w:type="dxa"/>
              <w:bottom w:w="6" w:type="dxa"/>
              <w:right w:w="17" w:type="dxa"/>
            </w:tcMar>
            <w:vAlign w:val="center"/>
          </w:tcPr>
          <w:p w14:paraId="10CAFD2D">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3800左右</w:t>
            </w:r>
          </w:p>
        </w:tc>
        <w:tc>
          <w:tcPr>
            <w:tcW w:w="1270" w:type="dxa"/>
            <w:tcMar>
              <w:top w:w="6" w:type="dxa"/>
              <w:left w:w="17" w:type="dxa"/>
              <w:bottom w:w="6" w:type="dxa"/>
              <w:right w:w="17" w:type="dxa"/>
            </w:tcMar>
            <w:vAlign w:val="center"/>
          </w:tcPr>
          <w:p w14:paraId="64943057">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4500</w:t>
            </w:r>
          </w:p>
        </w:tc>
        <w:tc>
          <w:tcPr>
            <w:tcW w:w="856" w:type="dxa"/>
            <w:tcMar>
              <w:top w:w="6" w:type="dxa"/>
              <w:left w:w="17" w:type="dxa"/>
              <w:bottom w:w="6" w:type="dxa"/>
              <w:right w:w="17" w:type="dxa"/>
            </w:tcMar>
            <w:vAlign w:val="center"/>
          </w:tcPr>
          <w:p w14:paraId="7BADDBAC">
            <w:pPr>
              <w:widowControl/>
              <w:jc w:val="center"/>
              <w:textAlignment w:val="center"/>
              <w:rPr>
                <w:rFonts w:hint="eastAsia" w:ascii="仿宋_GB2312" w:hAnsi="仿宋_GB2312" w:eastAsia="仿宋_GB2312" w:cs="仿宋_GB2312"/>
                <w:b w:val="0"/>
                <w:bCs w:val="0"/>
                <w:kern w:val="0"/>
                <w:sz w:val="21"/>
                <w:szCs w:val="21"/>
                <w:lang w:bidi="ar"/>
              </w:rPr>
            </w:pPr>
            <w:r>
              <w:rPr>
                <w:rFonts w:hint="eastAsia" w:ascii="仿宋_GB2312" w:hAnsi="仿宋_GB2312" w:eastAsia="仿宋_GB2312" w:cs="仿宋_GB2312"/>
                <w:b w:val="0"/>
                <w:bCs w:val="0"/>
                <w:kern w:val="0"/>
                <w:sz w:val="21"/>
                <w:szCs w:val="21"/>
                <w:lang w:bidi="ar"/>
              </w:rPr>
              <w:t>5000</w:t>
            </w:r>
          </w:p>
          <w:p w14:paraId="67D5B895">
            <w:pPr>
              <w:widowControl/>
              <w:jc w:val="center"/>
              <w:textAlignment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左右</w:t>
            </w:r>
          </w:p>
        </w:tc>
        <w:tc>
          <w:tcPr>
            <w:tcW w:w="702" w:type="dxa"/>
            <w:tcMar>
              <w:top w:w="6" w:type="dxa"/>
              <w:left w:w="17" w:type="dxa"/>
              <w:bottom w:w="6" w:type="dxa"/>
              <w:right w:w="17" w:type="dxa"/>
            </w:tcMar>
            <w:vAlign w:val="center"/>
          </w:tcPr>
          <w:p w14:paraId="165252F4">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预期性</w:t>
            </w:r>
          </w:p>
        </w:tc>
        <w:tc>
          <w:tcPr>
            <w:tcW w:w="1450" w:type="dxa"/>
            <w:tcMar>
              <w:top w:w="6" w:type="dxa"/>
              <w:left w:w="17" w:type="dxa"/>
              <w:bottom w:w="6" w:type="dxa"/>
              <w:right w:w="17" w:type="dxa"/>
            </w:tcMar>
            <w:vAlign w:val="center"/>
          </w:tcPr>
          <w:p w14:paraId="54E4347E">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中关村科学城综合部</w:t>
            </w:r>
          </w:p>
        </w:tc>
      </w:tr>
      <w:tr w14:paraId="070F01B8">
        <w:trPr>
          <w:trHeight w:val="1210" w:hRule="atLeast"/>
          <w:jc w:val="center"/>
        </w:trPr>
        <w:tc>
          <w:tcPr>
            <w:tcW w:w="576" w:type="dxa"/>
            <w:tcMar>
              <w:top w:w="6" w:type="dxa"/>
              <w:left w:w="17" w:type="dxa"/>
              <w:bottom w:w="6" w:type="dxa"/>
              <w:right w:w="17" w:type="dxa"/>
            </w:tcMar>
            <w:vAlign w:val="center"/>
          </w:tcPr>
          <w:p w14:paraId="24EC3EA8">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w:t>
            </w:r>
          </w:p>
        </w:tc>
        <w:tc>
          <w:tcPr>
            <w:tcW w:w="1920" w:type="dxa"/>
            <w:gridSpan w:val="2"/>
            <w:tcMar>
              <w:top w:w="6" w:type="dxa"/>
              <w:left w:w="17" w:type="dxa"/>
              <w:bottom w:w="6" w:type="dxa"/>
              <w:right w:w="17" w:type="dxa"/>
            </w:tcMar>
            <w:vAlign w:val="center"/>
          </w:tcPr>
          <w:p w14:paraId="039BF62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数字经济增加值</w:t>
            </w:r>
          </w:p>
          <w:p w14:paraId="0EBEC20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增速（%）</w:t>
            </w:r>
          </w:p>
        </w:tc>
        <w:tc>
          <w:tcPr>
            <w:tcW w:w="1092" w:type="dxa"/>
            <w:tcMar>
              <w:top w:w="6" w:type="dxa"/>
              <w:left w:w="17" w:type="dxa"/>
              <w:bottom w:w="6" w:type="dxa"/>
              <w:right w:w="17" w:type="dxa"/>
            </w:tcMar>
            <w:vAlign w:val="center"/>
          </w:tcPr>
          <w:p w14:paraId="63A8F222">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8</w:t>
            </w:r>
          </w:p>
        </w:tc>
        <w:tc>
          <w:tcPr>
            <w:tcW w:w="1086" w:type="dxa"/>
            <w:tcMar>
              <w:top w:w="6" w:type="dxa"/>
              <w:left w:w="17" w:type="dxa"/>
              <w:bottom w:w="6" w:type="dxa"/>
              <w:right w:w="17" w:type="dxa"/>
            </w:tcMar>
            <w:vAlign w:val="center"/>
          </w:tcPr>
          <w:p w14:paraId="1657F48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18.6</w:t>
            </w:r>
          </w:p>
        </w:tc>
        <w:tc>
          <w:tcPr>
            <w:tcW w:w="1181" w:type="dxa"/>
            <w:tcMar>
              <w:top w:w="6" w:type="dxa"/>
              <w:left w:w="17" w:type="dxa"/>
              <w:bottom w:w="6" w:type="dxa"/>
              <w:right w:w="17" w:type="dxa"/>
            </w:tcMar>
            <w:vAlign w:val="center"/>
          </w:tcPr>
          <w:p w14:paraId="59A6834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8左右</w:t>
            </w:r>
          </w:p>
        </w:tc>
        <w:tc>
          <w:tcPr>
            <w:tcW w:w="1270" w:type="dxa"/>
            <w:tcMar>
              <w:top w:w="6" w:type="dxa"/>
              <w:left w:w="17" w:type="dxa"/>
              <w:bottom w:w="6" w:type="dxa"/>
              <w:right w:w="17" w:type="dxa"/>
            </w:tcMar>
            <w:vAlign w:val="center"/>
          </w:tcPr>
          <w:p w14:paraId="75C1EF2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8左右</w:t>
            </w:r>
          </w:p>
        </w:tc>
        <w:tc>
          <w:tcPr>
            <w:tcW w:w="856" w:type="dxa"/>
            <w:tcMar>
              <w:top w:w="6" w:type="dxa"/>
              <w:left w:w="17" w:type="dxa"/>
              <w:bottom w:w="6" w:type="dxa"/>
              <w:right w:w="17" w:type="dxa"/>
            </w:tcMar>
            <w:vAlign w:val="center"/>
          </w:tcPr>
          <w:p w14:paraId="04314992">
            <w:pPr>
              <w:widowControl/>
              <w:jc w:val="center"/>
              <w:textAlignment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8左右</w:t>
            </w:r>
          </w:p>
        </w:tc>
        <w:tc>
          <w:tcPr>
            <w:tcW w:w="702" w:type="dxa"/>
            <w:tcMar>
              <w:top w:w="6" w:type="dxa"/>
              <w:left w:w="17" w:type="dxa"/>
              <w:bottom w:w="6" w:type="dxa"/>
              <w:right w:w="17" w:type="dxa"/>
            </w:tcMar>
            <w:vAlign w:val="center"/>
          </w:tcPr>
          <w:p w14:paraId="274F6A45">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预期性</w:t>
            </w:r>
          </w:p>
        </w:tc>
        <w:tc>
          <w:tcPr>
            <w:tcW w:w="1450" w:type="dxa"/>
            <w:tcMar>
              <w:top w:w="6" w:type="dxa"/>
              <w:left w:w="17" w:type="dxa"/>
              <w:bottom w:w="6" w:type="dxa"/>
              <w:right w:w="17" w:type="dxa"/>
            </w:tcMar>
            <w:vAlign w:val="center"/>
          </w:tcPr>
          <w:p w14:paraId="30A70B23">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中关村科学城综合部</w:t>
            </w:r>
          </w:p>
        </w:tc>
      </w:tr>
      <w:tr w14:paraId="394590F0">
        <w:trPr>
          <w:trHeight w:val="567" w:hRule="atLeast"/>
          <w:jc w:val="center"/>
        </w:trPr>
        <w:tc>
          <w:tcPr>
            <w:tcW w:w="576" w:type="dxa"/>
            <w:tcMar>
              <w:top w:w="6" w:type="dxa"/>
              <w:left w:w="17" w:type="dxa"/>
              <w:bottom w:w="6" w:type="dxa"/>
              <w:right w:w="17" w:type="dxa"/>
            </w:tcMar>
            <w:vAlign w:val="center"/>
          </w:tcPr>
          <w:p w14:paraId="39D6E195">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11</w:t>
            </w:r>
          </w:p>
        </w:tc>
        <w:tc>
          <w:tcPr>
            <w:tcW w:w="1920" w:type="dxa"/>
            <w:gridSpan w:val="2"/>
            <w:tcMar>
              <w:top w:w="6" w:type="dxa"/>
              <w:left w:w="17" w:type="dxa"/>
              <w:bottom w:w="6" w:type="dxa"/>
              <w:right w:w="17" w:type="dxa"/>
            </w:tcMar>
            <w:vAlign w:val="center"/>
          </w:tcPr>
          <w:p w14:paraId="5A4314B4">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实际利用外资额（亿美元）</w:t>
            </w:r>
          </w:p>
        </w:tc>
        <w:tc>
          <w:tcPr>
            <w:tcW w:w="1092" w:type="dxa"/>
            <w:tcMar>
              <w:top w:w="6" w:type="dxa"/>
              <w:left w:w="17" w:type="dxa"/>
              <w:bottom w:w="6" w:type="dxa"/>
              <w:right w:w="17" w:type="dxa"/>
            </w:tcMar>
            <w:vAlign w:val="center"/>
          </w:tcPr>
          <w:p w14:paraId="1251592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达到市级</w:t>
            </w:r>
          </w:p>
          <w:p w14:paraId="3DCD4F3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要求</w:t>
            </w:r>
          </w:p>
        </w:tc>
        <w:tc>
          <w:tcPr>
            <w:tcW w:w="1086" w:type="dxa"/>
            <w:tcMar>
              <w:top w:w="6" w:type="dxa"/>
              <w:left w:w="17" w:type="dxa"/>
              <w:bottom w:w="6" w:type="dxa"/>
              <w:right w:w="17" w:type="dxa"/>
            </w:tcMar>
            <w:vAlign w:val="center"/>
          </w:tcPr>
          <w:p w14:paraId="7DCBBF34">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62.43</w:t>
            </w:r>
          </w:p>
        </w:tc>
        <w:tc>
          <w:tcPr>
            <w:tcW w:w="1181" w:type="dxa"/>
            <w:tcMar>
              <w:top w:w="6" w:type="dxa"/>
              <w:left w:w="17" w:type="dxa"/>
              <w:bottom w:w="6" w:type="dxa"/>
              <w:right w:w="17" w:type="dxa"/>
            </w:tcMar>
            <w:vAlign w:val="center"/>
          </w:tcPr>
          <w:p w14:paraId="1ED876C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达到市级要求（62）</w:t>
            </w:r>
          </w:p>
        </w:tc>
        <w:tc>
          <w:tcPr>
            <w:tcW w:w="1270" w:type="dxa"/>
            <w:tcMar>
              <w:top w:w="6" w:type="dxa"/>
              <w:left w:w="17" w:type="dxa"/>
              <w:bottom w:w="6" w:type="dxa"/>
              <w:right w:w="17" w:type="dxa"/>
            </w:tcMar>
            <w:vAlign w:val="center"/>
          </w:tcPr>
          <w:p w14:paraId="27E22AF7">
            <w:pPr>
              <w:widowControl/>
              <w:jc w:val="center"/>
              <w:textAlignment w:val="center"/>
              <w:rPr>
                <w:rFonts w:hint="eastAsia" w:ascii="仿宋_GB2312" w:hAnsi="仿宋_GB2312" w:eastAsia="仿宋_GB2312" w:cs="仿宋_GB2312"/>
                <w:b w:val="0"/>
                <w:bCs w:val="0"/>
                <w:kern w:val="0"/>
                <w:sz w:val="21"/>
                <w:szCs w:val="21"/>
                <w:lang w:val="en-US" w:eastAsia="zh-CN" w:bidi="ar"/>
              </w:rPr>
            </w:pPr>
            <w:r>
              <w:rPr>
                <w:rFonts w:hint="eastAsia" w:ascii="仿宋_GB2312" w:hAnsi="仿宋_GB2312" w:eastAsia="仿宋_GB2312" w:cs="仿宋_GB2312"/>
                <w:b w:val="0"/>
                <w:bCs w:val="0"/>
                <w:kern w:val="0"/>
                <w:sz w:val="21"/>
                <w:szCs w:val="21"/>
                <w:lang w:val="en-US" w:eastAsia="zh-CN" w:bidi="ar"/>
              </w:rPr>
              <w:t>63.7</w:t>
            </w:r>
          </w:p>
        </w:tc>
        <w:tc>
          <w:tcPr>
            <w:tcW w:w="856" w:type="dxa"/>
            <w:tcMar>
              <w:top w:w="6" w:type="dxa"/>
              <w:left w:w="17" w:type="dxa"/>
              <w:bottom w:w="6" w:type="dxa"/>
              <w:right w:w="17" w:type="dxa"/>
            </w:tcMar>
            <w:vAlign w:val="center"/>
          </w:tcPr>
          <w:p w14:paraId="083A2987">
            <w:pPr>
              <w:widowControl/>
              <w:jc w:val="center"/>
              <w:textAlignment w:val="center"/>
              <w:rPr>
                <w:rFonts w:hint="eastAsia" w:ascii="仿宋_GB2312" w:hAnsi="仿宋_GB2312" w:eastAsia="仿宋_GB2312" w:cs="仿宋_GB2312"/>
                <w:b w:val="0"/>
                <w:bCs w:val="0"/>
                <w:kern w:val="0"/>
                <w:sz w:val="21"/>
                <w:szCs w:val="21"/>
                <w:lang w:bidi="ar"/>
              </w:rPr>
            </w:pPr>
            <w:r>
              <w:rPr>
                <w:rFonts w:hint="eastAsia" w:ascii="仿宋_GB2312" w:hAnsi="仿宋_GB2312" w:eastAsia="仿宋_GB2312" w:cs="仿宋_GB2312"/>
                <w:b w:val="0"/>
                <w:bCs w:val="0"/>
                <w:kern w:val="0"/>
                <w:sz w:val="21"/>
                <w:szCs w:val="21"/>
                <w:lang w:bidi="ar"/>
              </w:rPr>
              <w:t>达到市级要求</w:t>
            </w:r>
          </w:p>
        </w:tc>
        <w:tc>
          <w:tcPr>
            <w:tcW w:w="702" w:type="dxa"/>
            <w:tcMar>
              <w:top w:w="6" w:type="dxa"/>
              <w:left w:w="17" w:type="dxa"/>
              <w:bottom w:w="6" w:type="dxa"/>
              <w:right w:w="17" w:type="dxa"/>
            </w:tcMar>
            <w:vAlign w:val="center"/>
          </w:tcPr>
          <w:p w14:paraId="50D2A326">
            <w:pPr>
              <w:widowControl/>
              <w:jc w:val="center"/>
              <w:textAlignment w:val="center"/>
              <w:rPr>
                <w:rFonts w:hint="eastAsia" w:ascii="仿宋_GB2312" w:hAnsi="仿宋_GB2312" w:eastAsia="仿宋_GB2312" w:cs="仿宋_GB2312"/>
                <w:b w:val="0"/>
                <w:bCs w:val="0"/>
                <w:kern w:val="0"/>
                <w:sz w:val="21"/>
                <w:szCs w:val="21"/>
                <w:lang w:bidi="ar"/>
              </w:rPr>
            </w:pPr>
            <w:r>
              <w:rPr>
                <w:rFonts w:hint="eastAsia" w:ascii="仿宋_GB2312" w:hAnsi="仿宋_GB2312" w:eastAsia="仿宋_GB2312" w:cs="仿宋_GB2312"/>
                <w:b w:val="0"/>
                <w:bCs w:val="0"/>
                <w:kern w:val="0"/>
                <w:sz w:val="21"/>
                <w:szCs w:val="21"/>
                <w:lang w:bidi="ar"/>
              </w:rPr>
              <w:t>预期性</w:t>
            </w:r>
          </w:p>
        </w:tc>
        <w:tc>
          <w:tcPr>
            <w:tcW w:w="1450" w:type="dxa"/>
            <w:tcMar>
              <w:top w:w="6" w:type="dxa"/>
              <w:left w:w="17" w:type="dxa"/>
              <w:bottom w:w="6" w:type="dxa"/>
              <w:right w:w="17" w:type="dxa"/>
            </w:tcMar>
            <w:vAlign w:val="center"/>
          </w:tcPr>
          <w:p w14:paraId="1F7918C8">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区商务局</w:t>
            </w:r>
          </w:p>
        </w:tc>
      </w:tr>
      <w:tr w14:paraId="5CDEB488">
        <w:trPr>
          <w:trHeight w:val="567" w:hRule="atLeast"/>
          <w:jc w:val="center"/>
        </w:trPr>
        <w:tc>
          <w:tcPr>
            <w:tcW w:w="576" w:type="dxa"/>
            <w:tcMar>
              <w:top w:w="6" w:type="dxa"/>
              <w:left w:w="17" w:type="dxa"/>
              <w:bottom w:w="6" w:type="dxa"/>
              <w:right w:w="17" w:type="dxa"/>
            </w:tcMar>
            <w:vAlign w:val="center"/>
          </w:tcPr>
          <w:p w14:paraId="6A339977">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12</w:t>
            </w:r>
          </w:p>
        </w:tc>
        <w:tc>
          <w:tcPr>
            <w:tcW w:w="1920" w:type="dxa"/>
            <w:gridSpan w:val="2"/>
            <w:tcMar>
              <w:top w:w="6" w:type="dxa"/>
              <w:left w:w="17" w:type="dxa"/>
              <w:bottom w:w="6" w:type="dxa"/>
              <w:right w:w="17" w:type="dxa"/>
            </w:tcMar>
            <w:vAlign w:val="center"/>
          </w:tcPr>
          <w:p w14:paraId="65C4E98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自贸区企业收入</w:t>
            </w:r>
          </w:p>
          <w:p w14:paraId="7A5B69D4">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增速（%）</w:t>
            </w:r>
          </w:p>
        </w:tc>
        <w:tc>
          <w:tcPr>
            <w:tcW w:w="1092" w:type="dxa"/>
            <w:tcMar>
              <w:top w:w="6" w:type="dxa"/>
              <w:left w:w="17" w:type="dxa"/>
              <w:bottom w:w="6" w:type="dxa"/>
              <w:right w:w="17" w:type="dxa"/>
            </w:tcMar>
            <w:vAlign w:val="center"/>
          </w:tcPr>
          <w:p w14:paraId="0B858C7E">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15</w:t>
            </w:r>
          </w:p>
        </w:tc>
        <w:tc>
          <w:tcPr>
            <w:tcW w:w="1086" w:type="dxa"/>
            <w:tcMar>
              <w:top w:w="6" w:type="dxa"/>
              <w:left w:w="17" w:type="dxa"/>
              <w:bottom w:w="6" w:type="dxa"/>
              <w:right w:w="17" w:type="dxa"/>
            </w:tcMar>
            <w:vAlign w:val="center"/>
          </w:tcPr>
          <w:p w14:paraId="06C5C50B">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16.1</w:t>
            </w:r>
          </w:p>
        </w:tc>
        <w:tc>
          <w:tcPr>
            <w:tcW w:w="1181" w:type="dxa"/>
            <w:tcMar>
              <w:top w:w="6" w:type="dxa"/>
              <w:left w:w="17" w:type="dxa"/>
              <w:bottom w:w="6" w:type="dxa"/>
              <w:right w:w="17" w:type="dxa"/>
            </w:tcMar>
            <w:vAlign w:val="center"/>
          </w:tcPr>
          <w:p w14:paraId="6DAC609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15左右</w:t>
            </w:r>
          </w:p>
        </w:tc>
        <w:tc>
          <w:tcPr>
            <w:tcW w:w="1270" w:type="dxa"/>
            <w:tcMar>
              <w:top w:w="6" w:type="dxa"/>
              <w:left w:w="17" w:type="dxa"/>
              <w:bottom w:w="6" w:type="dxa"/>
              <w:right w:w="17" w:type="dxa"/>
            </w:tcMar>
            <w:vAlign w:val="center"/>
          </w:tcPr>
          <w:p w14:paraId="6A4613FB">
            <w:pPr>
              <w:widowControl/>
              <w:jc w:val="center"/>
              <w:textAlignment w:val="center"/>
              <w:rPr>
                <w:rFonts w:hint="eastAsia" w:ascii="仿宋_GB2312" w:hAnsi="仿宋_GB2312" w:eastAsia="仿宋_GB2312" w:cs="仿宋_GB2312"/>
                <w:b w:val="0"/>
                <w:bCs w:val="0"/>
                <w:kern w:val="0"/>
                <w:sz w:val="21"/>
                <w:szCs w:val="21"/>
                <w:lang w:bidi="ar"/>
              </w:rPr>
            </w:pPr>
            <w:r>
              <w:rPr>
                <w:rFonts w:hint="eastAsia" w:ascii="仿宋_GB2312" w:hAnsi="仿宋_GB2312" w:eastAsia="仿宋_GB2312" w:cs="仿宋_GB2312"/>
                <w:b w:val="0"/>
                <w:bCs w:val="0"/>
                <w:kern w:val="0"/>
                <w:sz w:val="21"/>
                <w:szCs w:val="21"/>
                <w:lang w:bidi="ar"/>
              </w:rPr>
              <w:t>8-9</w:t>
            </w:r>
          </w:p>
        </w:tc>
        <w:tc>
          <w:tcPr>
            <w:tcW w:w="856" w:type="dxa"/>
            <w:tcMar>
              <w:top w:w="6" w:type="dxa"/>
              <w:left w:w="17" w:type="dxa"/>
              <w:bottom w:w="6" w:type="dxa"/>
              <w:right w:w="17" w:type="dxa"/>
            </w:tcMar>
            <w:vAlign w:val="center"/>
          </w:tcPr>
          <w:p w14:paraId="1EA8692C">
            <w:pPr>
              <w:widowControl/>
              <w:jc w:val="center"/>
              <w:textAlignment w:val="center"/>
              <w:rPr>
                <w:rFonts w:hint="eastAsia" w:ascii="仿宋_GB2312" w:hAnsi="仿宋_GB2312" w:eastAsia="仿宋_GB2312" w:cs="仿宋_GB2312"/>
                <w:b w:val="0"/>
                <w:bCs w:val="0"/>
                <w:kern w:val="0"/>
                <w:sz w:val="21"/>
                <w:szCs w:val="21"/>
                <w:lang w:bidi="ar"/>
              </w:rPr>
            </w:pPr>
            <w:r>
              <w:rPr>
                <w:rFonts w:hint="eastAsia" w:ascii="仿宋_GB2312" w:hAnsi="仿宋_GB2312" w:eastAsia="仿宋_GB2312" w:cs="仿宋_GB2312"/>
                <w:b w:val="0"/>
                <w:bCs w:val="0"/>
                <w:kern w:val="0"/>
                <w:sz w:val="21"/>
                <w:szCs w:val="21"/>
                <w:lang w:bidi="ar"/>
              </w:rPr>
              <w:t>10</w:t>
            </w:r>
          </w:p>
        </w:tc>
        <w:tc>
          <w:tcPr>
            <w:tcW w:w="702" w:type="dxa"/>
            <w:tcMar>
              <w:top w:w="6" w:type="dxa"/>
              <w:left w:w="17" w:type="dxa"/>
              <w:bottom w:w="6" w:type="dxa"/>
              <w:right w:w="17" w:type="dxa"/>
            </w:tcMar>
            <w:vAlign w:val="center"/>
          </w:tcPr>
          <w:p w14:paraId="3BA59595">
            <w:pPr>
              <w:widowControl/>
              <w:jc w:val="center"/>
              <w:textAlignment w:val="center"/>
              <w:rPr>
                <w:rFonts w:hint="eastAsia" w:ascii="仿宋_GB2312" w:hAnsi="仿宋_GB2312" w:eastAsia="仿宋_GB2312" w:cs="仿宋_GB2312"/>
                <w:b w:val="0"/>
                <w:bCs w:val="0"/>
                <w:kern w:val="0"/>
                <w:sz w:val="21"/>
                <w:szCs w:val="21"/>
                <w:lang w:bidi="ar"/>
              </w:rPr>
            </w:pPr>
            <w:r>
              <w:rPr>
                <w:rFonts w:hint="eastAsia" w:ascii="仿宋_GB2312" w:hAnsi="仿宋_GB2312" w:eastAsia="仿宋_GB2312" w:cs="仿宋_GB2312"/>
                <w:b w:val="0"/>
                <w:bCs w:val="0"/>
                <w:kern w:val="0"/>
                <w:sz w:val="21"/>
                <w:szCs w:val="21"/>
                <w:lang w:bidi="ar"/>
              </w:rPr>
              <w:t>预期性</w:t>
            </w:r>
          </w:p>
        </w:tc>
        <w:tc>
          <w:tcPr>
            <w:tcW w:w="1450" w:type="dxa"/>
            <w:tcMar>
              <w:top w:w="6" w:type="dxa"/>
              <w:left w:w="17" w:type="dxa"/>
              <w:bottom w:w="6" w:type="dxa"/>
              <w:right w:w="17" w:type="dxa"/>
            </w:tcMar>
            <w:vAlign w:val="center"/>
          </w:tcPr>
          <w:p w14:paraId="25AEAB16">
            <w:pPr>
              <w:widowControl/>
              <w:adjustRightInd w:val="0"/>
              <w:snapToGrid w:val="0"/>
              <w:jc w:val="center"/>
              <w:rPr>
                <w:rFonts w:hint="eastAsia" w:ascii="仿宋_GB2312" w:hAnsi="仿宋_GB2312" w:eastAsia="仿宋_GB2312" w:cs="仿宋_GB2312"/>
                <w:b w:val="0"/>
                <w:bCs w:val="0"/>
                <w:spacing w:val="-6"/>
                <w:kern w:val="0"/>
                <w:sz w:val="21"/>
                <w:szCs w:val="21"/>
              </w:rPr>
            </w:pPr>
            <w:r>
              <w:rPr>
                <w:rFonts w:hint="eastAsia" w:ascii="仿宋_GB2312" w:hAnsi="仿宋_GB2312" w:eastAsia="仿宋_GB2312" w:cs="仿宋_GB2312"/>
                <w:b w:val="0"/>
                <w:bCs w:val="0"/>
                <w:spacing w:val="-6"/>
                <w:kern w:val="0"/>
                <w:sz w:val="21"/>
                <w:szCs w:val="21"/>
              </w:rPr>
              <w:t>区商务局、中关村科学城综合部</w:t>
            </w:r>
          </w:p>
        </w:tc>
      </w:tr>
      <w:tr w14:paraId="15740CCF">
        <w:trPr>
          <w:trHeight w:val="567" w:hRule="atLeast"/>
          <w:jc w:val="center"/>
        </w:trPr>
        <w:tc>
          <w:tcPr>
            <w:tcW w:w="576" w:type="dxa"/>
            <w:tcMar>
              <w:top w:w="6" w:type="dxa"/>
              <w:left w:w="17" w:type="dxa"/>
              <w:bottom w:w="6" w:type="dxa"/>
              <w:right w:w="17" w:type="dxa"/>
            </w:tcMar>
            <w:vAlign w:val="center"/>
          </w:tcPr>
          <w:p w14:paraId="01881C8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13</w:t>
            </w:r>
          </w:p>
        </w:tc>
        <w:tc>
          <w:tcPr>
            <w:tcW w:w="1920" w:type="dxa"/>
            <w:gridSpan w:val="2"/>
            <w:tcMar>
              <w:top w:w="6" w:type="dxa"/>
              <w:left w:w="17" w:type="dxa"/>
              <w:bottom w:w="6" w:type="dxa"/>
              <w:right w:w="17" w:type="dxa"/>
            </w:tcMar>
            <w:vAlign w:val="center"/>
          </w:tcPr>
          <w:p w14:paraId="1123F2DC">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细颗粒物浓度</w:t>
            </w:r>
          </w:p>
          <w:p w14:paraId="5B47C283">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（微克/立方米）</w:t>
            </w:r>
          </w:p>
        </w:tc>
        <w:tc>
          <w:tcPr>
            <w:tcW w:w="1092" w:type="dxa"/>
            <w:tcMar>
              <w:top w:w="6" w:type="dxa"/>
              <w:left w:w="17" w:type="dxa"/>
              <w:bottom w:w="6" w:type="dxa"/>
              <w:right w:w="17" w:type="dxa"/>
            </w:tcMar>
            <w:vAlign w:val="center"/>
          </w:tcPr>
          <w:p w14:paraId="41F0F7D7">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达到市级要求（32）</w:t>
            </w:r>
          </w:p>
        </w:tc>
        <w:tc>
          <w:tcPr>
            <w:tcW w:w="1086" w:type="dxa"/>
            <w:tcMar>
              <w:top w:w="6" w:type="dxa"/>
              <w:left w:w="17" w:type="dxa"/>
              <w:bottom w:w="6" w:type="dxa"/>
              <w:right w:w="17" w:type="dxa"/>
            </w:tcMar>
            <w:vAlign w:val="center"/>
          </w:tcPr>
          <w:p w14:paraId="51AD2E1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35</w:t>
            </w:r>
          </w:p>
        </w:tc>
        <w:tc>
          <w:tcPr>
            <w:tcW w:w="1181" w:type="dxa"/>
            <w:tcMar>
              <w:top w:w="6" w:type="dxa"/>
              <w:left w:w="17" w:type="dxa"/>
              <w:bottom w:w="6" w:type="dxa"/>
              <w:right w:w="17" w:type="dxa"/>
            </w:tcMar>
            <w:vAlign w:val="center"/>
          </w:tcPr>
          <w:p w14:paraId="22E060F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达到市级要求（33）</w:t>
            </w:r>
          </w:p>
        </w:tc>
        <w:tc>
          <w:tcPr>
            <w:tcW w:w="1270" w:type="dxa"/>
            <w:tcMar>
              <w:top w:w="6" w:type="dxa"/>
              <w:left w:w="17" w:type="dxa"/>
              <w:bottom w:w="6" w:type="dxa"/>
              <w:right w:w="17" w:type="dxa"/>
            </w:tcMar>
            <w:vAlign w:val="center"/>
          </w:tcPr>
          <w:p w14:paraId="0C1F314E">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w:t>
            </w:r>
            <w:r>
              <w:rPr>
                <w:rFonts w:hint="eastAsia" w:ascii="仿宋_GB2312" w:hAnsi="仿宋_GB2312" w:eastAsia="仿宋_GB2312" w:cs="仿宋_GB2312"/>
                <w:b w:val="0"/>
                <w:bCs w:val="0"/>
                <w:kern w:val="0"/>
                <w:sz w:val="21"/>
                <w:szCs w:val="21"/>
                <w:lang w:val="en-US" w:eastAsia="zh-CN"/>
              </w:rPr>
              <w:t>0</w:t>
            </w:r>
          </w:p>
        </w:tc>
        <w:tc>
          <w:tcPr>
            <w:tcW w:w="856" w:type="dxa"/>
            <w:tcMar>
              <w:top w:w="6" w:type="dxa"/>
              <w:left w:w="17" w:type="dxa"/>
              <w:bottom w:w="6" w:type="dxa"/>
              <w:right w:w="17" w:type="dxa"/>
            </w:tcMar>
            <w:vAlign w:val="center"/>
          </w:tcPr>
          <w:p w14:paraId="063C3599">
            <w:pPr>
              <w:widowControl/>
              <w:jc w:val="center"/>
              <w:textAlignment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达到市级要求</w:t>
            </w:r>
          </w:p>
        </w:tc>
        <w:tc>
          <w:tcPr>
            <w:tcW w:w="702" w:type="dxa"/>
            <w:tcMar>
              <w:top w:w="6" w:type="dxa"/>
              <w:left w:w="17" w:type="dxa"/>
              <w:bottom w:w="6" w:type="dxa"/>
              <w:right w:w="17" w:type="dxa"/>
            </w:tcMar>
            <w:vAlign w:val="center"/>
          </w:tcPr>
          <w:p w14:paraId="5A0D132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约束性</w:t>
            </w:r>
          </w:p>
        </w:tc>
        <w:tc>
          <w:tcPr>
            <w:tcW w:w="1450" w:type="dxa"/>
            <w:tcMar>
              <w:top w:w="6" w:type="dxa"/>
              <w:left w:w="17" w:type="dxa"/>
              <w:bottom w:w="6" w:type="dxa"/>
              <w:right w:w="17" w:type="dxa"/>
            </w:tcMar>
            <w:vAlign w:val="center"/>
          </w:tcPr>
          <w:p w14:paraId="5BCE906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区生态环境局</w:t>
            </w:r>
          </w:p>
        </w:tc>
      </w:tr>
      <w:tr w14:paraId="35FB66AD">
        <w:trPr>
          <w:trHeight w:val="567" w:hRule="atLeast"/>
          <w:jc w:val="center"/>
        </w:trPr>
        <w:tc>
          <w:tcPr>
            <w:tcW w:w="576" w:type="dxa"/>
            <w:tcMar>
              <w:top w:w="6" w:type="dxa"/>
              <w:left w:w="17" w:type="dxa"/>
              <w:bottom w:w="6" w:type="dxa"/>
              <w:right w:w="17" w:type="dxa"/>
            </w:tcMar>
            <w:vAlign w:val="center"/>
          </w:tcPr>
          <w:p w14:paraId="6034D08C">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14</w:t>
            </w:r>
          </w:p>
        </w:tc>
        <w:tc>
          <w:tcPr>
            <w:tcW w:w="1920" w:type="dxa"/>
            <w:gridSpan w:val="2"/>
            <w:tcMar>
              <w:top w:w="6" w:type="dxa"/>
              <w:left w:w="17" w:type="dxa"/>
              <w:bottom w:w="6" w:type="dxa"/>
              <w:right w:w="17" w:type="dxa"/>
            </w:tcMar>
            <w:vAlign w:val="center"/>
          </w:tcPr>
          <w:p w14:paraId="0FAD9FC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地表水环境质量目标完成情况（%）</w:t>
            </w:r>
          </w:p>
        </w:tc>
        <w:tc>
          <w:tcPr>
            <w:tcW w:w="1092" w:type="dxa"/>
            <w:tcMar>
              <w:top w:w="6" w:type="dxa"/>
              <w:left w:w="17" w:type="dxa"/>
              <w:bottom w:w="6" w:type="dxa"/>
              <w:right w:w="17" w:type="dxa"/>
            </w:tcMar>
            <w:vAlign w:val="center"/>
          </w:tcPr>
          <w:p w14:paraId="1AB93708">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达到市级要求（优良水体比例75）</w:t>
            </w:r>
          </w:p>
        </w:tc>
        <w:tc>
          <w:tcPr>
            <w:tcW w:w="1086" w:type="dxa"/>
            <w:tcMar>
              <w:top w:w="6" w:type="dxa"/>
              <w:left w:w="17" w:type="dxa"/>
              <w:bottom w:w="6" w:type="dxa"/>
              <w:right w:w="17" w:type="dxa"/>
            </w:tcMar>
            <w:vAlign w:val="center"/>
          </w:tcPr>
          <w:p w14:paraId="0481D6C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优良水体比例62.5</w:t>
            </w:r>
          </w:p>
        </w:tc>
        <w:tc>
          <w:tcPr>
            <w:tcW w:w="1181" w:type="dxa"/>
            <w:tcMar>
              <w:top w:w="6" w:type="dxa"/>
              <w:left w:w="17" w:type="dxa"/>
              <w:bottom w:w="6" w:type="dxa"/>
              <w:right w:w="17" w:type="dxa"/>
            </w:tcMar>
            <w:vAlign w:val="center"/>
          </w:tcPr>
          <w:p w14:paraId="1A5245B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达到市级要求（优良水体比例62.5）</w:t>
            </w:r>
          </w:p>
        </w:tc>
        <w:tc>
          <w:tcPr>
            <w:tcW w:w="1270" w:type="dxa"/>
            <w:tcMar>
              <w:top w:w="6" w:type="dxa"/>
              <w:left w:w="17" w:type="dxa"/>
              <w:bottom w:w="6" w:type="dxa"/>
              <w:right w:w="17" w:type="dxa"/>
            </w:tcMar>
            <w:vAlign w:val="center"/>
          </w:tcPr>
          <w:p w14:paraId="274FC812">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优良水体比例87.5</w:t>
            </w:r>
          </w:p>
        </w:tc>
        <w:tc>
          <w:tcPr>
            <w:tcW w:w="856" w:type="dxa"/>
            <w:tcMar>
              <w:top w:w="6" w:type="dxa"/>
              <w:left w:w="17" w:type="dxa"/>
              <w:bottom w:w="6" w:type="dxa"/>
              <w:right w:w="17" w:type="dxa"/>
            </w:tcMar>
            <w:vAlign w:val="center"/>
          </w:tcPr>
          <w:p w14:paraId="57CE46B1">
            <w:pPr>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达到市级要求</w:t>
            </w:r>
          </w:p>
        </w:tc>
        <w:tc>
          <w:tcPr>
            <w:tcW w:w="702" w:type="dxa"/>
            <w:tcMar>
              <w:top w:w="6" w:type="dxa"/>
              <w:left w:w="17" w:type="dxa"/>
              <w:bottom w:w="6" w:type="dxa"/>
              <w:right w:w="17" w:type="dxa"/>
            </w:tcMar>
            <w:vAlign w:val="center"/>
          </w:tcPr>
          <w:p w14:paraId="5D79787B">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约束性</w:t>
            </w:r>
          </w:p>
        </w:tc>
        <w:tc>
          <w:tcPr>
            <w:tcW w:w="1450" w:type="dxa"/>
            <w:tcMar>
              <w:top w:w="6" w:type="dxa"/>
              <w:left w:w="17" w:type="dxa"/>
              <w:bottom w:w="6" w:type="dxa"/>
              <w:right w:w="17" w:type="dxa"/>
            </w:tcMar>
            <w:vAlign w:val="center"/>
          </w:tcPr>
          <w:p w14:paraId="03D892A3">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区水务局、区生态环境局</w:t>
            </w:r>
          </w:p>
        </w:tc>
      </w:tr>
      <w:tr w14:paraId="1CDB45C6">
        <w:trPr>
          <w:trHeight w:val="886" w:hRule="atLeast"/>
          <w:jc w:val="center"/>
        </w:trPr>
        <w:tc>
          <w:tcPr>
            <w:tcW w:w="576" w:type="dxa"/>
            <w:tcMar>
              <w:top w:w="6" w:type="dxa"/>
              <w:left w:w="17" w:type="dxa"/>
              <w:bottom w:w="6" w:type="dxa"/>
              <w:right w:w="17" w:type="dxa"/>
            </w:tcMar>
            <w:vAlign w:val="center"/>
          </w:tcPr>
          <w:p w14:paraId="3273ECDB">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15</w:t>
            </w:r>
          </w:p>
        </w:tc>
        <w:tc>
          <w:tcPr>
            <w:tcW w:w="1920" w:type="dxa"/>
            <w:gridSpan w:val="2"/>
            <w:tcMar>
              <w:top w:w="6" w:type="dxa"/>
              <w:left w:w="17" w:type="dxa"/>
              <w:bottom w:w="6" w:type="dxa"/>
              <w:right w:w="17" w:type="dxa"/>
            </w:tcMar>
            <w:vAlign w:val="center"/>
          </w:tcPr>
          <w:p w14:paraId="2A92C32D">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生活垃圾回收</w:t>
            </w:r>
          </w:p>
          <w:p w14:paraId="66FA84E5">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利用率（%）</w:t>
            </w:r>
          </w:p>
        </w:tc>
        <w:tc>
          <w:tcPr>
            <w:tcW w:w="1092" w:type="dxa"/>
            <w:tcMar>
              <w:top w:w="6" w:type="dxa"/>
              <w:left w:w="17" w:type="dxa"/>
              <w:bottom w:w="6" w:type="dxa"/>
              <w:right w:w="17" w:type="dxa"/>
            </w:tcMar>
            <w:vAlign w:val="center"/>
          </w:tcPr>
          <w:p w14:paraId="08A3FE7E">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达到市级</w:t>
            </w:r>
          </w:p>
          <w:p w14:paraId="7FCB56D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要求（40）</w:t>
            </w:r>
          </w:p>
        </w:tc>
        <w:tc>
          <w:tcPr>
            <w:tcW w:w="1086" w:type="dxa"/>
            <w:tcMar>
              <w:top w:w="6" w:type="dxa"/>
              <w:left w:w="17" w:type="dxa"/>
              <w:bottom w:w="6" w:type="dxa"/>
              <w:right w:w="17" w:type="dxa"/>
            </w:tcMar>
            <w:vAlign w:val="center"/>
          </w:tcPr>
          <w:p w14:paraId="62C49E7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37.5</w:t>
            </w:r>
          </w:p>
        </w:tc>
        <w:tc>
          <w:tcPr>
            <w:tcW w:w="1181" w:type="dxa"/>
            <w:tcMar>
              <w:top w:w="6" w:type="dxa"/>
              <w:left w:w="17" w:type="dxa"/>
              <w:bottom w:w="6" w:type="dxa"/>
              <w:right w:w="17" w:type="dxa"/>
            </w:tcMar>
            <w:vAlign w:val="center"/>
          </w:tcPr>
          <w:p w14:paraId="5893DD7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38左右</w:t>
            </w:r>
          </w:p>
        </w:tc>
        <w:tc>
          <w:tcPr>
            <w:tcW w:w="1270" w:type="dxa"/>
            <w:tcMar>
              <w:top w:w="6" w:type="dxa"/>
              <w:left w:w="17" w:type="dxa"/>
              <w:bottom w:w="6" w:type="dxa"/>
              <w:right w:w="17" w:type="dxa"/>
            </w:tcMar>
            <w:vAlign w:val="center"/>
          </w:tcPr>
          <w:p w14:paraId="31D04248">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39</w:t>
            </w:r>
          </w:p>
        </w:tc>
        <w:tc>
          <w:tcPr>
            <w:tcW w:w="856" w:type="dxa"/>
            <w:tcMar>
              <w:top w:w="6" w:type="dxa"/>
              <w:left w:w="17" w:type="dxa"/>
              <w:bottom w:w="6" w:type="dxa"/>
              <w:right w:w="17" w:type="dxa"/>
            </w:tcMar>
            <w:vAlign w:val="center"/>
          </w:tcPr>
          <w:p w14:paraId="3417BA96">
            <w:pPr>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39</w:t>
            </w:r>
          </w:p>
        </w:tc>
        <w:tc>
          <w:tcPr>
            <w:tcW w:w="702" w:type="dxa"/>
            <w:tcMar>
              <w:top w:w="6" w:type="dxa"/>
              <w:left w:w="17" w:type="dxa"/>
              <w:bottom w:w="6" w:type="dxa"/>
              <w:right w:w="17" w:type="dxa"/>
            </w:tcMar>
            <w:vAlign w:val="center"/>
          </w:tcPr>
          <w:p w14:paraId="7DECEB55">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约束性</w:t>
            </w:r>
          </w:p>
        </w:tc>
        <w:tc>
          <w:tcPr>
            <w:tcW w:w="1450" w:type="dxa"/>
            <w:tcMar>
              <w:top w:w="6" w:type="dxa"/>
              <w:left w:w="17" w:type="dxa"/>
              <w:bottom w:w="6" w:type="dxa"/>
              <w:right w:w="17" w:type="dxa"/>
            </w:tcMar>
            <w:vAlign w:val="center"/>
          </w:tcPr>
          <w:p w14:paraId="488D614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区城市管理委</w:t>
            </w:r>
          </w:p>
        </w:tc>
      </w:tr>
      <w:tr w14:paraId="66A2E4BD">
        <w:trPr>
          <w:trHeight w:val="567" w:hRule="atLeast"/>
          <w:jc w:val="center"/>
        </w:trPr>
        <w:tc>
          <w:tcPr>
            <w:tcW w:w="576" w:type="dxa"/>
            <w:tcMar>
              <w:top w:w="6" w:type="dxa"/>
              <w:left w:w="17" w:type="dxa"/>
              <w:bottom w:w="6" w:type="dxa"/>
              <w:right w:w="17" w:type="dxa"/>
            </w:tcMar>
            <w:vAlign w:val="center"/>
          </w:tcPr>
          <w:p w14:paraId="3D9B2B42">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16</w:t>
            </w:r>
          </w:p>
        </w:tc>
        <w:tc>
          <w:tcPr>
            <w:tcW w:w="1920" w:type="dxa"/>
            <w:gridSpan w:val="2"/>
            <w:tcMar>
              <w:top w:w="6" w:type="dxa"/>
              <w:left w:w="17" w:type="dxa"/>
              <w:bottom w:w="6" w:type="dxa"/>
              <w:right w:w="17" w:type="dxa"/>
            </w:tcMar>
            <w:vAlign w:val="center"/>
          </w:tcPr>
          <w:p w14:paraId="01850CC8">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森林覆盖率（%）</w:t>
            </w:r>
          </w:p>
        </w:tc>
        <w:tc>
          <w:tcPr>
            <w:tcW w:w="1092" w:type="dxa"/>
            <w:tcMar>
              <w:top w:w="6" w:type="dxa"/>
              <w:left w:w="17" w:type="dxa"/>
              <w:bottom w:w="6" w:type="dxa"/>
              <w:right w:w="17" w:type="dxa"/>
            </w:tcMar>
            <w:vAlign w:val="center"/>
          </w:tcPr>
          <w:p w14:paraId="438AFCD3">
            <w:pPr>
              <w:widowControl/>
              <w:adjustRightInd w:val="0"/>
              <w:snapToGrid w:val="0"/>
              <w:jc w:val="center"/>
              <w:rPr>
                <w:rFonts w:hint="eastAsia" w:ascii="仿宋_GB2312" w:hAnsi="仿宋_GB2312" w:eastAsia="仿宋_GB2312" w:cs="仿宋_GB2312"/>
                <w:b w:val="0"/>
                <w:bCs w:val="0"/>
                <w:spacing w:val="-6"/>
                <w:kern w:val="0"/>
                <w:sz w:val="21"/>
                <w:szCs w:val="21"/>
              </w:rPr>
            </w:pPr>
            <w:r>
              <w:rPr>
                <w:rFonts w:hint="eastAsia" w:ascii="仿宋_GB2312" w:hAnsi="仿宋_GB2312" w:eastAsia="仿宋_GB2312" w:cs="仿宋_GB2312"/>
                <w:b w:val="0"/>
                <w:bCs w:val="0"/>
                <w:kern w:val="0"/>
                <w:sz w:val="21"/>
                <w:szCs w:val="21"/>
                <w:lang w:bidi="ar"/>
              </w:rPr>
              <w:t>达到市级要求（2035年达到37）</w:t>
            </w:r>
          </w:p>
        </w:tc>
        <w:tc>
          <w:tcPr>
            <w:tcW w:w="1086" w:type="dxa"/>
            <w:tcMar>
              <w:top w:w="6" w:type="dxa"/>
              <w:left w:w="17" w:type="dxa"/>
              <w:bottom w:w="6" w:type="dxa"/>
              <w:right w:w="17" w:type="dxa"/>
            </w:tcMar>
            <w:vAlign w:val="center"/>
          </w:tcPr>
          <w:p w14:paraId="52BE8839">
            <w:pPr>
              <w:widowControl/>
              <w:adjustRightInd w:val="0"/>
              <w:snapToGrid w:val="0"/>
              <w:jc w:val="center"/>
              <w:rPr>
                <w:rFonts w:hint="eastAsia" w:ascii="仿宋_GB2312" w:hAnsi="仿宋_GB2312" w:eastAsia="仿宋_GB2312" w:cs="仿宋_GB2312"/>
                <w:b w:val="0"/>
                <w:bCs w:val="0"/>
                <w:spacing w:val="-6"/>
                <w:kern w:val="0"/>
                <w:sz w:val="21"/>
                <w:szCs w:val="21"/>
              </w:rPr>
            </w:pPr>
            <w:r>
              <w:rPr>
                <w:rFonts w:hint="eastAsia" w:ascii="仿宋_GB2312" w:hAnsi="仿宋_GB2312" w:eastAsia="仿宋_GB2312" w:cs="仿宋_GB2312"/>
                <w:b w:val="0"/>
                <w:bCs w:val="0"/>
                <w:kern w:val="0"/>
                <w:sz w:val="21"/>
                <w:szCs w:val="21"/>
              </w:rPr>
              <w:t>35.48</w:t>
            </w:r>
          </w:p>
        </w:tc>
        <w:tc>
          <w:tcPr>
            <w:tcW w:w="1181" w:type="dxa"/>
            <w:tcMar>
              <w:top w:w="6" w:type="dxa"/>
              <w:left w:w="17" w:type="dxa"/>
              <w:bottom w:w="6" w:type="dxa"/>
              <w:right w:w="17" w:type="dxa"/>
            </w:tcMar>
            <w:vAlign w:val="center"/>
          </w:tcPr>
          <w:p w14:paraId="6A040668">
            <w:pPr>
              <w:widowControl/>
              <w:adjustRightInd w:val="0"/>
              <w:snapToGrid w:val="0"/>
              <w:jc w:val="center"/>
              <w:rPr>
                <w:rFonts w:hint="eastAsia" w:ascii="仿宋_GB2312" w:hAnsi="仿宋_GB2312" w:eastAsia="仿宋_GB2312" w:cs="仿宋_GB2312"/>
                <w:b w:val="0"/>
                <w:bCs w:val="0"/>
                <w:kern w:val="0"/>
                <w:sz w:val="21"/>
                <w:szCs w:val="21"/>
                <w:lang w:bidi="ar"/>
              </w:rPr>
            </w:pPr>
            <w:r>
              <w:rPr>
                <w:rFonts w:hint="eastAsia" w:ascii="仿宋_GB2312" w:hAnsi="仿宋_GB2312" w:eastAsia="仿宋_GB2312" w:cs="仿宋_GB2312"/>
                <w:b w:val="0"/>
                <w:bCs w:val="0"/>
                <w:kern w:val="0"/>
                <w:sz w:val="21"/>
                <w:szCs w:val="21"/>
                <w:lang w:bidi="ar"/>
              </w:rPr>
              <w:t>达到市级</w:t>
            </w:r>
          </w:p>
          <w:p w14:paraId="112F126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要求</w:t>
            </w:r>
          </w:p>
        </w:tc>
        <w:tc>
          <w:tcPr>
            <w:tcW w:w="1270" w:type="dxa"/>
            <w:tcMar>
              <w:top w:w="6" w:type="dxa"/>
              <w:left w:w="17" w:type="dxa"/>
              <w:bottom w:w="6" w:type="dxa"/>
              <w:right w:w="17" w:type="dxa"/>
            </w:tcMar>
            <w:vAlign w:val="center"/>
          </w:tcPr>
          <w:p w14:paraId="79AABF9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可以完成市级任务</w:t>
            </w:r>
          </w:p>
        </w:tc>
        <w:tc>
          <w:tcPr>
            <w:tcW w:w="856" w:type="dxa"/>
            <w:tcMar>
              <w:top w:w="6" w:type="dxa"/>
              <w:left w:w="17" w:type="dxa"/>
              <w:bottom w:w="6" w:type="dxa"/>
              <w:right w:w="17" w:type="dxa"/>
            </w:tcMar>
            <w:vAlign w:val="center"/>
          </w:tcPr>
          <w:p w14:paraId="4F65455B">
            <w:pPr>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达到市级要求</w:t>
            </w:r>
          </w:p>
        </w:tc>
        <w:tc>
          <w:tcPr>
            <w:tcW w:w="702" w:type="dxa"/>
            <w:tcMar>
              <w:top w:w="6" w:type="dxa"/>
              <w:left w:w="17" w:type="dxa"/>
              <w:bottom w:w="6" w:type="dxa"/>
              <w:right w:w="17" w:type="dxa"/>
            </w:tcMar>
            <w:vAlign w:val="center"/>
          </w:tcPr>
          <w:p w14:paraId="243F3D5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约束性</w:t>
            </w:r>
          </w:p>
        </w:tc>
        <w:tc>
          <w:tcPr>
            <w:tcW w:w="1450" w:type="dxa"/>
            <w:tcMar>
              <w:top w:w="6" w:type="dxa"/>
              <w:left w:w="17" w:type="dxa"/>
              <w:bottom w:w="6" w:type="dxa"/>
              <w:right w:w="17" w:type="dxa"/>
            </w:tcMar>
            <w:vAlign w:val="center"/>
          </w:tcPr>
          <w:p w14:paraId="7AF50A5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区园林绿化局</w:t>
            </w:r>
          </w:p>
        </w:tc>
      </w:tr>
      <w:tr w14:paraId="2048C036">
        <w:trPr>
          <w:trHeight w:val="567" w:hRule="atLeast"/>
          <w:jc w:val="center"/>
        </w:trPr>
        <w:tc>
          <w:tcPr>
            <w:tcW w:w="576" w:type="dxa"/>
            <w:tcMar>
              <w:top w:w="6" w:type="dxa"/>
              <w:left w:w="17" w:type="dxa"/>
              <w:bottom w:w="6" w:type="dxa"/>
              <w:right w:w="17" w:type="dxa"/>
            </w:tcMar>
            <w:vAlign w:val="center"/>
          </w:tcPr>
          <w:p w14:paraId="091956D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17</w:t>
            </w:r>
          </w:p>
        </w:tc>
        <w:tc>
          <w:tcPr>
            <w:tcW w:w="1920" w:type="dxa"/>
            <w:gridSpan w:val="2"/>
            <w:tcMar>
              <w:top w:w="6" w:type="dxa"/>
              <w:left w:w="17" w:type="dxa"/>
              <w:bottom w:w="6" w:type="dxa"/>
              <w:right w:w="17" w:type="dxa"/>
            </w:tcMar>
            <w:vAlign w:val="center"/>
          </w:tcPr>
          <w:p w14:paraId="522D8515">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单位地区生产总值能耗降幅（%）</w:t>
            </w:r>
          </w:p>
        </w:tc>
        <w:tc>
          <w:tcPr>
            <w:tcW w:w="1092" w:type="dxa"/>
            <w:tcMar>
              <w:top w:w="6" w:type="dxa"/>
              <w:left w:w="17" w:type="dxa"/>
              <w:bottom w:w="6" w:type="dxa"/>
              <w:right w:w="17" w:type="dxa"/>
            </w:tcMar>
            <w:vAlign w:val="center"/>
          </w:tcPr>
          <w:p w14:paraId="2441BF9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达到市级要求（五年下降14.5）</w:t>
            </w:r>
          </w:p>
        </w:tc>
        <w:tc>
          <w:tcPr>
            <w:tcW w:w="1086" w:type="dxa"/>
            <w:tcMar>
              <w:top w:w="6" w:type="dxa"/>
              <w:left w:w="17" w:type="dxa"/>
              <w:bottom w:w="6" w:type="dxa"/>
              <w:right w:w="17" w:type="dxa"/>
            </w:tcMar>
            <w:vAlign w:val="center"/>
          </w:tcPr>
          <w:p w14:paraId="2BA500B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3.7</w:t>
            </w:r>
          </w:p>
        </w:tc>
        <w:tc>
          <w:tcPr>
            <w:tcW w:w="1181" w:type="dxa"/>
            <w:tcMar>
              <w:top w:w="6" w:type="dxa"/>
              <w:left w:w="17" w:type="dxa"/>
              <w:bottom w:w="6" w:type="dxa"/>
              <w:right w:w="17" w:type="dxa"/>
            </w:tcMar>
            <w:vAlign w:val="center"/>
          </w:tcPr>
          <w:p w14:paraId="028EFEE5">
            <w:pPr>
              <w:widowControl/>
              <w:adjustRightInd w:val="0"/>
              <w:snapToGrid w:val="0"/>
              <w:jc w:val="center"/>
              <w:rPr>
                <w:rFonts w:hint="eastAsia" w:ascii="仿宋_GB2312" w:hAnsi="仿宋_GB2312" w:eastAsia="仿宋_GB2312" w:cs="仿宋_GB2312"/>
                <w:b w:val="0"/>
                <w:bCs w:val="0"/>
                <w:kern w:val="0"/>
                <w:sz w:val="21"/>
                <w:szCs w:val="21"/>
                <w:lang w:eastAsia="zh-CN"/>
              </w:rPr>
            </w:pPr>
            <w:r>
              <w:rPr>
                <w:rFonts w:hint="eastAsia" w:ascii="仿宋_GB2312" w:hAnsi="仿宋_GB2312" w:eastAsia="仿宋_GB2312" w:cs="仿宋_GB2312"/>
                <w:b w:val="0"/>
                <w:bCs w:val="0"/>
                <w:kern w:val="0"/>
                <w:sz w:val="21"/>
                <w:szCs w:val="21"/>
                <w:lang w:bidi="ar"/>
              </w:rPr>
              <w:t>征求意见中</w:t>
            </w:r>
            <w:r>
              <w:rPr>
                <w:rFonts w:hint="eastAsia" w:ascii="仿宋_GB2312" w:hAnsi="仿宋_GB2312" w:eastAsia="仿宋_GB2312" w:cs="仿宋_GB2312"/>
                <w:b w:val="0"/>
                <w:bCs w:val="0"/>
                <w:kern w:val="0"/>
                <w:sz w:val="21"/>
                <w:szCs w:val="21"/>
                <w:lang w:eastAsia="zh-CN" w:bidi="ar"/>
              </w:rPr>
              <w:t>（</w:t>
            </w:r>
            <w:r>
              <w:rPr>
                <w:rFonts w:hint="eastAsia" w:ascii="仿宋_GB2312" w:hAnsi="仿宋_GB2312" w:eastAsia="仿宋_GB2312" w:cs="仿宋_GB2312"/>
                <w:b w:val="0"/>
                <w:bCs w:val="0"/>
                <w:kern w:val="0"/>
                <w:sz w:val="21"/>
                <w:szCs w:val="21"/>
                <w:lang w:val="en-US" w:eastAsia="zh-CN" w:bidi="ar"/>
              </w:rPr>
              <w:t>3</w:t>
            </w:r>
            <w:r>
              <w:rPr>
                <w:rFonts w:hint="eastAsia" w:ascii="仿宋_GB2312" w:hAnsi="仿宋_GB2312" w:eastAsia="仿宋_GB2312" w:cs="仿宋_GB2312"/>
                <w:b w:val="0"/>
                <w:bCs w:val="0"/>
                <w:kern w:val="0"/>
                <w:sz w:val="21"/>
                <w:szCs w:val="21"/>
                <w:lang w:eastAsia="zh-CN" w:bidi="ar"/>
              </w:rPr>
              <w:t>）</w:t>
            </w:r>
          </w:p>
        </w:tc>
        <w:tc>
          <w:tcPr>
            <w:tcW w:w="1270" w:type="dxa"/>
            <w:tcMar>
              <w:top w:w="6" w:type="dxa"/>
              <w:left w:w="17" w:type="dxa"/>
              <w:bottom w:w="6" w:type="dxa"/>
              <w:right w:w="17" w:type="dxa"/>
            </w:tcMar>
            <w:vAlign w:val="center"/>
          </w:tcPr>
          <w:p w14:paraId="548BAC0A">
            <w:pPr>
              <w:widowControl/>
              <w:adjustRightInd w:val="0"/>
              <w:snapToGrid w:val="0"/>
              <w:jc w:val="center"/>
              <w:rPr>
                <w:rFonts w:hint="eastAsia" w:ascii="仿宋_GB2312" w:hAnsi="仿宋_GB2312" w:eastAsia="仿宋_GB2312" w:cs="仿宋_GB2312"/>
                <w:b w:val="0"/>
                <w:bCs w:val="0"/>
                <w:kern w:val="0"/>
                <w:sz w:val="21"/>
                <w:szCs w:val="21"/>
                <w:lang w:eastAsia="zh-CN"/>
              </w:rPr>
            </w:pPr>
            <w:r>
              <w:rPr>
                <w:rFonts w:hint="eastAsia" w:ascii="仿宋_GB2312" w:hAnsi="仿宋_GB2312" w:eastAsia="仿宋_GB2312" w:cs="仿宋_GB2312"/>
                <w:b w:val="0"/>
                <w:bCs w:val="0"/>
                <w:kern w:val="0"/>
                <w:sz w:val="21"/>
                <w:szCs w:val="21"/>
                <w:lang w:val="en-US" w:eastAsia="zh-CN"/>
              </w:rPr>
              <w:t>3</w:t>
            </w:r>
          </w:p>
        </w:tc>
        <w:tc>
          <w:tcPr>
            <w:tcW w:w="856" w:type="dxa"/>
            <w:tcMar>
              <w:top w:w="6" w:type="dxa"/>
              <w:left w:w="17" w:type="dxa"/>
              <w:bottom w:w="6" w:type="dxa"/>
              <w:right w:w="17" w:type="dxa"/>
            </w:tcMar>
            <w:vAlign w:val="center"/>
          </w:tcPr>
          <w:p w14:paraId="0CAE52E4">
            <w:pPr>
              <w:widowControl/>
              <w:jc w:val="center"/>
              <w:textAlignment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达到市级要求</w:t>
            </w:r>
          </w:p>
        </w:tc>
        <w:tc>
          <w:tcPr>
            <w:tcW w:w="702" w:type="dxa"/>
            <w:tcMar>
              <w:top w:w="6" w:type="dxa"/>
              <w:left w:w="17" w:type="dxa"/>
              <w:bottom w:w="6" w:type="dxa"/>
              <w:right w:w="17" w:type="dxa"/>
            </w:tcMar>
            <w:vAlign w:val="center"/>
          </w:tcPr>
          <w:p w14:paraId="5CD255F4">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预期性</w:t>
            </w:r>
          </w:p>
        </w:tc>
        <w:tc>
          <w:tcPr>
            <w:tcW w:w="1450" w:type="dxa"/>
            <w:tcMar>
              <w:top w:w="6" w:type="dxa"/>
              <w:left w:w="17" w:type="dxa"/>
              <w:bottom w:w="6" w:type="dxa"/>
              <w:right w:w="17" w:type="dxa"/>
            </w:tcMar>
            <w:vAlign w:val="center"/>
          </w:tcPr>
          <w:p w14:paraId="041A4B7D">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区发展改革委</w:t>
            </w:r>
          </w:p>
        </w:tc>
      </w:tr>
      <w:tr w14:paraId="4E591342">
        <w:trPr>
          <w:trHeight w:val="567" w:hRule="atLeast"/>
          <w:jc w:val="center"/>
        </w:trPr>
        <w:tc>
          <w:tcPr>
            <w:tcW w:w="576" w:type="dxa"/>
            <w:tcMar>
              <w:top w:w="6" w:type="dxa"/>
              <w:left w:w="17" w:type="dxa"/>
              <w:bottom w:w="6" w:type="dxa"/>
              <w:right w:w="17" w:type="dxa"/>
            </w:tcMar>
            <w:vAlign w:val="center"/>
          </w:tcPr>
          <w:p w14:paraId="2D487272">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18</w:t>
            </w:r>
          </w:p>
        </w:tc>
        <w:tc>
          <w:tcPr>
            <w:tcW w:w="1920" w:type="dxa"/>
            <w:gridSpan w:val="2"/>
            <w:tcMar>
              <w:top w:w="6" w:type="dxa"/>
              <w:left w:w="17" w:type="dxa"/>
              <w:bottom w:w="6" w:type="dxa"/>
              <w:right w:w="17" w:type="dxa"/>
            </w:tcMar>
            <w:vAlign w:val="center"/>
          </w:tcPr>
          <w:p w14:paraId="6A725176">
            <w:pPr>
              <w:widowControl/>
              <w:adjustRightInd w:val="0"/>
              <w:snapToGrid w:val="0"/>
              <w:jc w:val="center"/>
              <w:rPr>
                <w:rFonts w:hint="eastAsia" w:ascii="仿宋_GB2312" w:hAnsi="仿宋_GB2312" w:eastAsia="仿宋_GB2312" w:cs="仿宋_GB2312"/>
                <w:b w:val="0"/>
                <w:bCs w:val="0"/>
                <w:spacing w:val="-6"/>
                <w:kern w:val="0"/>
                <w:sz w:val="21"/>
                <w:szCs w:val="21"/>
              </w:rPr>
            </w:pPr>
            <w:r>
              <w:rPr>
                <w:rFonts w:hint="eastAsia" w:ascii="仿宋_GB2312" w:hAnsi="仿宋_GB2312" w:eastAsia="仿宋_GB2312" w:cs="仿宋_GB2312"/>
                <w:b w:val="0"/>
                <w:bCs w:val="0"/>
                <w:spacing w:val="-6"/>
                <w:kern w:val="0"/>
                <w:sz w:val="21"/>
                <w:szCs w:val="21"/>
              </w:rPr>
              <w:t>单位地区生产总值二氧化碳排放降幅（%）</w:t>
            </w:r>
          </w:p>
        </w:tc>
        <w:tc>
          <w:tcPr>
            <w:tcW w:w="1092" w:type="dxa"/>
            <w:tcMar>
              <w:top w:w="6" w:type="dxa"/>
              <w:left w:w="17" w:type="dxa"/>
              <w:bottom w:w="6" w:type="dxa"/>
              <w:right w:w="17" w:type="dxa"/>
            </w:tcMar>
            <w:vAlign w:val="center"/>
          </w:tcPr>
          <w:p w14:paraId="752B35C8">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达到市级要求（五年下降21）</w:t>
            </w:r>
          </w:p>
        </w:tc>
        <w:tc>
          <w:tcPr>
            <w:tcW w:w="1086" w:type="dxa"/>
            <w:tcMar>
              <w:top w:w="6" w:type="dxa"/>
              <w:left w:w="17" w:type="dxa"/>
              <w:bottom w:w="6" w:type="dxa"/>
              <w:right w:w="17" w:type="dxa"/>
            </w:tcMar>
            <w:vAlign w:val="center"/>
          </w:tcPr>
          <w:p w14:paraId="75CE6C58">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该指标年底出上年数据</w:t>
            </w:r>
          </w:p>
        </w:tc>
        <w:tc>
          <w:tcPr>
            <w:tcW w:w="1181" w:type="dxa"/>
            <w:tcMar>
              <w:top w:w="6" w:type="dxa"/>
              <w:left w:w="17" w:type="dxa"/>
              <w:bottom w:w="6" w:type="dxa"/>
              <w:right w:w="17" w:type="dxa"/>
            </w:tcMar>
            <w:vAlign w:val="center"/>
          </w:tcPr>
          <w:p w14:paraId="0ACBE213">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达到市级要求（3）</w:t>
            </w:r>
          </w:p>
        </w:tc>
        <w:tc>
          <w:tcPr>
            <w:tcW w:w="1270" w:type="dxa"/>
            <w:tcMar>
              <w:top w:w="6" w:type="dxa"/>
              <w:left w:w="17" w:type="dxa"/>
              <w:bottom w:w="6" w:type="dxa"/>
              <w:right w:w="17" w:type="dxa"/>
            </w:tcMar>
            <w:vAlign w:val="center"/>
          </w:tcPr>
          <w:p w14:paraId="335B76D2">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w:t>
            </w:r>
          </w:p>
        </w:tc>
        <w:tc>
          <w:tcPr>
            <w:tcW w:w="856" w:type="dxa"/>
            <w:tcMar>
              <w:top w:w="6" w:type="dxa"/>
              <w:left w:w="17" w:type="dxa"/>
              <w:bottom w:w="6" w:type="dxa"/>
              <w:right w:w="17" w:type="dxa"/>
            </w:tcMar>
            <w:vAlign w:val="center"/>
          </w:tcPr>
          <w:p w14:paraId="1DFC8FED">
            <w:pPr>
              <w:widowControl/>
              <w:jc w:val="center"/>
              <w:textAlignment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达到市级要求</w:t>
            </w:r>
          </w:p>
        </w:tc>
        <w:tc>
          <w:tcPr>
            <w:tcW w:w="702" w:type="dxa"/>
            <w:tcMar>
              <w:top w:w="6" w:type="dxa"/>
              <w:left w:w="17" w:type="dxa"/>
              <w:bottom w:w="6" w:type="dxa"/>
              <w:right w:w="17" w:type="dxa"/>
            </w:tcMar>
            <w:vAlign w:val="center"/>
          </w:tcPr>
          <w:p w14:paraId="725360E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约束性</w:t>
            </w:r>
          </w:p>
        </w:tc>
        <w:tc>
          <w:tcPr>
            <w:tcW w:w="1450" w:type="dxa"/>
            <w:tcMar>
              <w:top w:w="6" w:type="dxa"/>
              <w:left w:w="17" w:type="dxa"/>
              <w:bottom w:w="6" w:type="dxa"/>
              <w:right w:w="17" w:type="dxa"/>
            </w:tcMar>
            <w:vAlign w:val="center"/>
          </w:tcPr>
          <w:p w14:paraId="501EBBE3">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区生态环境局</w:t>
            </w:r>
          </w:p>
        </w:tc>
      </w:tr>
      <w:tr w14:paraId="2048EB88">
        <w:trPr>
          <w:trHeight w:val="567" w:hRule="atLeast"/>
          <w:jc w:val="center"/>
        </w:trPr>
        <w:tc>
          <w:tcPr>
            <w:tcW w:w="576" w:type="dxa"/>
            <w:tcMar>
              <w:top w:w="6" w:type="dxa"/>
              <w:left w:w="17" w:type="dxa"/>
              <w:bottom w:w="6" w:type="dxa"/>
              <w:right w:w="17" w:type="dxa"/>
            </w:tcMar>
            <w:vAlign w:val="center"/>
          </w:tcPr>
          <w:p w14:paraId="5A500FA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19</w:t>
            </w:r>
          </w:p>
        </w:tc>
        <w:tc>
          <w:tcPr>
            <w:tcW w:w="1920" w:type="dxa"/>
            <w:gridSpan w:val="2"/>
            <w:tcMar>
              <w:top w:w="6" w:type="dxa"/>
              <w:left w:w="17" w:type="dxa"/>
              <w:bottom w:w="6" w:type="dxa"/>
              <w:right w:w="17" w:type="dxa"/>
            </w:tcMar>
            <w:vAlign w:val="center"/>
          </w:tcPr>
          <w:p w14:paraId="34D364A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居民人均可支配收入增速（%）</w:t>
            </w:r>
          </w:p>
        </w:tc>
        <w:tc>
          <w:tcPr>
            <w:tcW w:w="1092" w:type="dxa"/>
            <w:tcMar>
              <w:top w:w="6" w:type="dxa"/>
              <w:left w:w="17" w:type="dxa"/>
              <w:bottom w:w="6" w:type="dxa"/>
              <w:right w:w="17" w:type="dxa"/>
            </w:tcMar>
            <w:vAlign w:val="center"/>
          </w:tcPr>
          <w:p w14:paraId="2985B825">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与经济增长基本同步</w:t>
            </w:r>
          </w:p>
        </w:tc>
        <w:tc>
          <w:tcPr>
            <w:tcW w:w="1086" w:type="dxa"/>
            <w:tcMar>
              <w:top w:w="6" w:type="dxa"/>
              <w:left w:w="17" w:type="dxa"/>
              <w:bottom w:w="6" w:type="dxa"/>
              <w:right w:w="17" w:type="dxa"/>
            </w:tcMar>
            <w:vAlign w:val="center"/>
          </w:tcPr>
          <w:p w14:paraId="34FC91C1">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7.8</w:t>
            </w:r>
          </w:p>
        </w:tc>
        <w:tc>
          <w:tcPr>
            <w:tcW w:w="1181" w:type="dxa"/>
            <w:tcMar>
              <w:top w:w="6" w:type="dxa"/>
              <w:left w:w="17" w:type="dxa"/>
              <w:bottom w:w="6" w:type="dxa"/>
              <w:right w:w="17" w:type="dxa"/>
            </w:tcMar>
            <w:vAlign w:val="center"/>
          </w:tcPr>
          <w:p w14:paraId="3D3AC37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稳步增长</w:t>
            </w:r>
          </w:p>
        </w:tc>
        <w:tc>
          <w:tcPr>
            <w:tcW w:w="1270" w:type="dxa"/>
            <w:tcMar>
              <w:top w:w="6" w:type="dxa"/>
              <w:left w:w="17" w:type="dxa"/>
              <w:bottom w:w="6" w:type="dxa"/>
              <w:right w:w="17" w:type="dxa"/>
            </w:tcMar>
            <w:vAlign w:val="center"/>
          </w:tcPr>
          <w:p w14:paraId="36DE98A9">
            <w:pPr>
              <w:widowControl/>
              <w:adjustRightInd w:val="0"/>
              <w:snapToGrid w:val="0"/>
              <w:jc w:val="center"/>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lang w:val="en-US" w:eastAsia="zh-CN"/>
              </w:rPr>
              <w:t>2.9</w:t>
            </w:r>
          </w:p>
        </w:tc>
        <w:tc>
          <w:tcPr>
            <w:tcW w:w="856" w:type="dxa"/>
            <w:tcMar>
              <w:top w:w="6" w:type="dxa"/>
              <w:left w:w="17" w:type="dxa"/>
              <w:bottom w:w="6" w:type="dxa"/>
              <w:right w:w="17" w:type="dxa"/>
            </w:tcMar>
            <w:vAlign w:val="center"/>
          </w:tcPr>
          <w:p w14:paraId="4BAC6916">
            <w:pPr>
              <w:widowControl/>
              <w:jc w:val="center"/>
              <w:textAlignment w:val="center"/>
              <w:rPr>
                <w:rFonts w:hint="eastAsia" w:ascii="仿宋_GB2312" w:hAnsi="仿宋_GB2312" w:eastAsia="仿宋_GB2312" w:cs="仿宋_GB2312"/>
                <w:b w:val="0"/>
                <w:bCs w:val="0"/>
                <w:kern w:val="0"/>
                <w:sz w:val="21"/>
                <w:szCs w:val="21"/>
                <w:lang w:bidi="ar"/>
              </w:rPr>
            </w:pPr>
            <w:r>
              <w:rPr>
                <w:rFonts w:hint="eastAsia" w:ascii="仿宋_GB2312" w:hAnsi="仿宋_GB2312" w:eastAsia="仿宋_GB2312" w:cs="仿宋_GB2312"/>
                <w:b w:val="0"/>
                <w:bCs w:val="0"/>
                <w:kern w:val="0"/>
                <w:sz w:val="21"/>
                <w:szCs w:val="21"/>
                <w:lang w:bidi="ar"/>
              </w:rPr>
              <w:t>稳步</w:t>
            </w:r>
          </w:p>
          <w:p w14:paraId="44D38A80">
            <w:pPr>
              <w:widowControl/>
              <w:jc w:val="center"/>
              <w:textAlignment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增长</w:t>
            </w:r>
          </w:p>
        </w:tc>
        <w:tc>
          <w:tcPr>
            <w:tcW w:w="702" w:type="dxa"/>
            <w:tcMar>
              <w:top w:w="6" w:type="dxa"/>
              <w:left w:w="17" w:type="dxa"/>
              <w:bottom w:w="6" w:type="dxa"/>
              <w:right w:w="17" w:type="dxa"/>
            </w:tcMar>
            <w:vAlign w:val="center"/>
          </w:tcPr>
          <w:p w14:paraId="7F9CD862">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预期性</w:t>
            </w:r>
          </w:p>
        </w:tc>
        <w:tc>
          <w:tcPr>
            <w:tcW w:w="1450" w:type="dxa"/>
            <w:tcMar>
              <w:top w:w="6" w:type="dxa"/>
              <w:left w:w="17" w:type="dxa"/>
              <w:bottom w:w="6" w:type="dxa"/>
              <w:right w:w="17" w:type="dxa"/>
            </w:tcMar>
            <w:vAlign w:val="center"/>
          </w:tcPr>
          <w:p w14:paraId="1030CEA2">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区人力社保局</w:t>
            </w:r>
          </w:p>
        </w:tc>
      </w:tr>
      <w:tr w14:paraId="26EB4685">
        <w:trPr>
          <w:trHeight w:val="774" w:hRule="atLeast"/>
          <w:jc w:val="center"/>
        </w:trPr>
        <w:tc>
          <w:tcPr>
            <w:tcW w:w="576" w:type="dxa"/>
            <w:tcMar>
              <w:top w:w="6" w:type="dxa"/>
              <w:left w:w="17" w:type="dxa"/>
              <w:bottom w:w="6" w:type="dxa"/>
              <w:right w:w="17" w:type="dxa"/>
            </w:tcMar>
            <w:vAlign w:val="center"/>
          </w:tcPr>
          <w:p w14:paraId="3A0137B3">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20</w:t>
            </w:r>
          </w:p>
        </w:tc>
        <w:tc>
          <w:tcPr>
            <w:tcW w:w="1920" w:type="dxa"/>
            <w:gridSpan w:val="2"/>
            <w:tcMar>
              <w:top w:w="6" w:type="dxa"/>
              <w:left w:w="17" w:type="dxa"/>
              <w:bottom w:w="6" w:type="dxa"/>
              <w:right w:w="17" w:type="dxa"/>
            </w:tcMar>
            <w:vAlign w:val="center"/>
          </w:tcPr>
          <w:p w14:paraId="1F7A79C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城镇登记失业率（%）</w:t>
            </w:r>
          </w:p>
        </w:tc>
        <w:tc>
          <w:tcPr>
            <w:tcW w:w="1092" w:type="dxa"/>
            <w:tcMar>
              <w:top w:w="6" w:type="dxa"/>
              <w:left w:w="17" w:type="dxa"/>
              <w:bottom w:w="6" w:type="dxa"/>
              <w:right w:w="17" w:type="dxa"/>
            </w:tcMar>
            <w:vAlign w:val="center"/>
          </w:tcPr>
          <w:p w14:paraId="12B53C37">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不高于全市平均水平</w:t>
            </w:r>
          </w:p>
        </w:tc>
        <w:tc>
          <w:tcPr>
            <w:tcW w:w="1086" w:type="dxa"/>
            <w:tcMar>
              <w:top w:w="6" w:type="dxa"/>
              <w:left w:w="17" w:type="dxa"/>
              <w:bottom w:w="6" w:type="dxa"/>
              <w:right w:w="17" w:type="dxa"/>
            </w:tcMar>
            <w:vAlign w:val="center"/>
          </w:tcPr>
          <w:p w14:paraId="21DDB92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2.63（市级3.23）</w:t>
            </w:r>
          </w:p>
        </w:tc>
        <w:tc>
          <w:tcPr>
            <w:tcW w:w="1181" w:type="dxa"/>
            <w:tcMar>
              <w:top w:w="6" w:type="dxa"/>
              <w:left w:w="17" w:type="dxa"/>
              <w:bottom w:w="6" w:type="dxa"/>
              <w:right w:w="17" w:type="dxa"/>
            </w:tcMar>
            <w:vAlign w:val="center"/>
          </w:tcPr>
          <w:p w14:paraId="31477828">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低于全市平均水平（3）</w:t>
            </w:r>
          </w:p>
        </w:tc>
        <w:tc>
          <w:tcPr>
            <w:tcW w:w="1270" w:type="dxa"/>
            <w:tcMar>
              <w:top w:w="6" w:type="dxa"/>
              <w:left w:w="17" w:type="dxa"/>
              <w:bottom w:w="6" w:type="dxa"/>
              <w:right w:w="17" w:type="dxa"/>
            </w:tcMar>
            <w:vAlign w:val="center"/>
          </w:tcPr>
          <w:p w14:paraId="799B36D9">
            <w:pPr>
              <w:widowControl/>
              <w:adjustRightInd w:val="0"/>
              <w:snapToGrid w:val="0"/>
              <w:jc w:val="center"/>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lang w:val="en-US" w:eastAsia="zh-CN"/>
              </w:rPr>
              <w:t>2.63（市级3.12）</w:t>
            </w:r>
          </w:p>
        </w:tc>
        <w:tc>
          <w:tcPr>
            <w:tcW w:w="856" w:type="dxa"/>
            <w:tcMar>
              <w:top w:w="6" w:type="dxa"/>
              <w:left w:w="17" w:type="dxa"/>
              <w:bottom w:w="6" w:type="dxa"/>
              <w:right w:w="17" w:type="dxa"/>
            </w:tcMar>
            <w:vAlign w:val="center"/>
          </w:tcPr>
          <w:p w14:paraId="0BBA49C1">
            <w:pPr>
              <w:widowControl/>
              <w:jc w:val="center"/>
              <w:textAlignment w:val="center"/>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lang w:eastAsia="zh-CN" w:bidi="ar"/>
              </w:rPr>
              <w:t>控制在</w:t>
            </w:r>
            <w:r>
              <w:rPr>
                <w:rFonts w:hint="eastAsia" w:ascii="仿宋_GB2312" w:hAnsi="仿宋_GB2312" w:eastAsia="仿宋_GB2312" w:cs="仿宋_GB2312"/>
                <w:b w:val="0"/>
                <w:bCs w:val="0"/>
                <w:kern w:val="0"/>
                <w:sz w:val="21"/>
                <w:szCs w:val="21"/>
                <w:lang w:val="en-US" w:eastAsia="zh-CN" w:bidi="ar"/>
              </w:rPr>
              <w:t>3%以内</w:t>
            </w:r>
          </w:p>
        </w:tc>
        <w:tc>
          <w:tcPr>
            <w:tcW w:w="702" w:type="dxa"/>
            <w:tcMar>
              <w:top w:w="6" w:type="dxa"/>
              <w:left w:w="17" w:type="dxa"/>
              <w:bottom w:w="6" w:type="dxa"/>
              <w:right w:w="17" w:type="dxa"/>
            </w:tcMar>
            <w:vAlign w:val="center"/>
          </w:tcPr>
          <w:p w14:paraId="641670D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预期性</w:t>
            </w:r>
          </w:p>
        </w:tc>
        <w:tc>
          <w:tcPr>
            <w:tcW w:w="1450" w:type="dxa"/>
            <w:tcMar>
              <w:top w:w="6" w:type="dxa"/>
              <w:left w:w="17" w:type="dxa"/>
              <w:bottom w:w="6" w:type="dxa"/>
              <w:right w:w="17" w:type="dxa"/>
            </w:tcMar>
            <w:vAlign w:val="center"/>
          </w:tcPr>
          <w:p w14:paraId="4F999722">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区人力社保局</w:t>
            </w:r>
          </w:p>
        </w:tc>
      </w:tr>
      <w:tr w14:paraId="4C2F3988">
        <w:trPr>
          <w:trHeight w:val="567" w:hRule="atLeast"/>
          <w:jc w:val="center"/>
        </w:trPr>
        <w:tc>
          <w:tcPr>
            <w:tcW w:w="576" w:type="dxa"/>
            <w:vMerge w:val="restart"/>
            <w:tcMar>
              <w:top w:w="6" w:type="dxa"/>
              <w:left w:w="17" w:type="dxa"/>
              <w:bottom w:w="6" w:type="dxa"/>
              <w:right w:w="17" w:type="dxa"/>
            </w:tcMar>
            <w:vAlign w:val="center"/>
          </w:tcPr>
          <w:p w14:paraId="776FB68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21</w:t>
            </w:r>
          </w:p>
        </w:tc>
        <w:tc>
          <w:tcPr>
            <w:tcW w:w="862" w:type="dxa"/>
            <w:vMerge w:val="restart"/>
            <w:tcMar>
              <w:top w:w="6" w:type="dxa"/>
              <w:left w:w="17" w:type="dxa"/>
              <w:bottom w:w="6" w:type="dxa"/>
              <w:right w:w="17" w:type="dxa"/>
            </w:tcMar>
            <w:vAlign w:val="center"/>
          </w:tcPr>
          <w:p w14:paraId="0544B6CB">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新增学位供给数（个）</w:t>
            </w:r>
          </w:p>
        </w:tc>
        <w:tc>
          <w:tcPr>
            <w:tcW w:w="1058" w:type="dxa"/>
            <w:tcMar>
              <w:top w:w="6" w:type="dxa"/>
              <w:left w:w="17" w:type="dxa"/>
              <w:bottom w:w="6" w:type="dxa"/>
              <w:right w:w="17" w:type="dxa"/>
            </w:tcMar>
            <w:vAlign w:val="center"/>
          </w:tcPr>
          <w:p w14:paraId="504C36CC">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普惠性</w:t>
            </w:r>
            <w:r>
              <w:rPr>
                <w:rFonts w:hint="eastAsia" w:ascii="仿宋_GB2312" w:hAnsi="仿宋_GB2312" w:eastAsia="仿宋_GB2312" w:cs="仿宋_GB2312"/>
                <w:b w:val="0"/>
                <w:bCs w:val="0"/>
                <w:kern w:val="0"/>
                <w:sz w:val="21"/>
                <w:szCs w:val="21"/>
              </w:rPr>
              <w:br w:type="textWrapping"/>
            </w:r>
            <w:r>
              <w:rPr>
                <w:rFonts w:hint="eastAsia" w:ascii="仿宋_GB2312" w:hAnsi="仿宋_GB2312" w:eastAsia="仿宋_GB2312" w:cs="仿宋_GB2312"/>
                <w:b w:val="0"/>
                <w:bCs w:val="0"/>
                <w:kern w:val="0"/>
                <w:sz w:val="21"/>
                <w:szCs w:val="21"/>
              </w:rPr>
              <w:t>学前</w:t>
            </w:r>
          </w:p>
        </w:tc>
        <w:tc>
          <w:tcPr>
            <w:tcW w:w="1092" w:type="dxa"/>
            <w:tcMar>
              <w:top w:w="6" w:type="dxa"/>
              <w:left w:w="17" w:type="dxa"/>
              <w:bottom w:w="6" w:type="dxa"/>
              <w:right w:w="17" w:type="dxa"/>
            </w:tcMar>
            <w:vAlign w:val="center"/>
          </w:tcPr>
          <w:p w14:paraId="7D0C2ECD">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累计5000左右</w:t>
            </w:r>
          </w:p>
        </w:tc>
        <w:tc>
          <w:tcPr>
            <w:tcW w:w="1086" w:type="dxa"/>
            <w:tcMar>
              <w:top w:w="6" w:type="dxa"/>
              <w:left w:w="17" w:type="dxa"/>
              <w:bottom w:w="6" w:type="dxa"/>
              <w:right w:w="17" w:type="dxa"/>
            </w:tcMar>
            <w:vAlign w:val="center"/>
          </w:tcPr>
          <w:p w14:paraId="5090DB13">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1530</w:t>
            </w:r>
          </w:p>
        </w:tc>
        <w:tc>
          <w:tcPr>
            <w:tcW w:w="1181" w:type="dxa"/>
            <w:tcMar>
              <w:top w:w="6" w:type="dxa"/>
              <w:left w:w="17" w:type="dxa"/>
              <w:bottom w:w="6" w:type="dxa"/>
              <w:right w:w="17" w:type="dxa"/>
            </w:tcMar>
            <w:vAlign w:val="center"/>
          </w:tcPr>
          <w:p w14:paraId="738ABA13">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1350</w:t>
            </w:r>
          </w:p>
        </w:tc>
        <w:tc>
          <w:tcPr>
            <w:tcW w:w="1270" w:type="dxa"/>
            <w:tcMar>
              <w:top w:w="6" w:type="dxa"/>
              <w:left w:w="17" w:type="dxa"/>
              <w:bottom w:w="6" w:type="dxa"/>
              <w:right w:w="17" w:type="dxa"/>
            </w:tcMar>
            <w:vAlign w:val="center"/>
          </w:tcPr>
          <w:p w14:paraId="1C7D1C5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1350</w:t>
            </w:r>
          </w:p>
        </w:tc>
        <w:tc>
          <w:tcPr>
            <w:tcW w:w="856" w:type="dxa"/>
            <w:tcMar>
              <w:top w:w="6" w:type="dxa"/>
              <w:left w:w="17" w:type="dxa"/>
              <w:bottom w:w="6" w:type="dxa"/>
              <w:right w:w="17" w:type="dxa"/>
            </w:tcMar>
            <w:vAlign w:val="center"/>
          </w:tcPr>
          <w:p w14:paraId="77A35F52">
            <w:pPr>
              <w:widowControl/>
              <w:jc w:val="center"/>
              <w:textAlignment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1000</w:t>
            </w:r>
          </w:p>
        </w:tc>
        <w:tc>
          <w:tcPr>
            <w:tcW w:w="702" w:type="dxa"/>
            <w:vMerge w:val="restart"/>
            <w:tcMar>
              <w:top w:w="6" w:type="dxa"/>
              <w:left w:w="17" w:type="dxa"/>
              <w:bottom w:w="6" w:type="dxa"/>
              <w:right w:w="17" w:type="dxa"/>
            </w:tcMar>
            <w:vAlign w:val="center"/>
          </w:tcPr>
          <w:p w14:paraId="23FC6E4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预期性</w:t>
            </w:r>
          </w:p>
        </w:tc>
        <w:tc>
          <w:tcPr>
            <w:tcW w:w="1450" w:type="dxa"/>
            <w:vMerge w:val="restart"/>
            <w:tcMar>
              <w:top w:w="6" w:type="dxa"/>
              <w:left w:w="17" w:type="dxa"/>
              <w:bottom w:w="6" w:type="dxa"/>
              <w:right w:w="17" w:type="dxa"/>
            </w:tcMar>
            <w:vAlign w:val="center"/>
          </w:tcPr>
          <w:p w14:paraId="2F2FBE7C">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区教委</w:t>
            </w:r>
          </w:p>
        </w:tc>
      </w:tr>
      <w:tr w14:paraId="45C59416">
        <w:trPr>
          <w:trHeight w:val="567" w:hRule="atLeast"/>
          <w:jc w:val="center"/>
        </w:trPr>
        <w:tc>
          <w:tcPr>
            <w:tcW w:w="576" w:type="dxa"/>
            <w:vMerge w:val="continue"/>
            <w:tcMar>
              <w:top w:w="6" w:type="dxa"/>
              <w:left w:w="17" w:type="dxa"/>
              <w:bottom w:w="6" w:type="dxa"/>
              <w:right w:w="17" w:type="dxa"/>
            </w:tcMar>
            <w:vAlign w:val="center"/>
          </w:tcPr>
          <w:p w14:paraId="79FC37C8">
            <w:pPr>
              <w:widowControl/>
              <w:adjustRightInd w:val="0"/>
              <w:snapToGrid w:val="0"/>
              <w:jc w:val="center"/>
              <w:rPr>
                <w:rFonts w:hint="eastAsia" w:ascii="仿宋_GB2312" w:hAnsi="仿宋_GB2312" w:eastAsia="仿宋_GB2312" w:cs="仿宋_GB2312"/>
                <w:b w:val="0"/>
                <w:bCs w:val="0"/>
                <w:kern w:val="0"/>
                <w:sz w:val="21"/>
                <w:szCs w:val="21"/>
              </w:rPr>
            </w:pPr>
          </w:p>
        </w:tc>
        <w:tc>
          <w:tcPr>
            <w:tcW w:w="862" w:type="dxa"/>
            <w:vMerge w:val="continue"/>
            <w:tcMar>
              <w:top w:w="6" w:type="dxa"/>
              <w:left w:w="17" w:type="dxa"/>
              <w:bottom w:w="6" w:type="dxa"/>
              <w:right w:w="17" w:type="dxa"/>
            </w:tcMar>
            <w:vAlign w:val="center"/>
          </w:tcPr>
          <w:p w14:paraId="11AE782C">
            <w:pPr>
              <w:widowControl/>
              <w:adjustRightInd w:val="0"/>
              <w:snapToGrid w:val="0"/>
              <w:jc w:val="center"/>
              <w:rPr>
                <w:rFonts w:hint="eastAsia" w:ascii="仿宋_GB2312" w:hAnsi="仿宋_GB2312" w:eastAsia="仿宋_GB2312" w:cs="仿宋_GB2312"/>
                <w:b w:val="0"/>
                <w:bCs w:val="0"/>
                <w:kern w:val="0"/>
                <w:sz w:val="21"/>
                <w:szCs w:val="21"/>
              </w:rPr>
            </w:pPr>
          </w:p>
        </w:tc>
        <w:tc>
          <w:tcPr>
            <w:tcW w:w="1058" w:type="dxa"/>
            <w:tcMar>
              <w:top w:w="6" w:type="dxa"/>
              <w:left w:w="17" w:type="dxa"/>
              <w:bottom w:w="6" w:type="dxa"/>
              <w:right w:w="17" w:type="dxa"/>
            </w:tcMar>
            <w:vAlign w:val="center"/>
          </w:tcPr>
          <w:p w14:paraId="415B189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中小学</w:t>
            </w:r>
          </w:p>
        </w:tc>
        <w:tc>
          <w:tcPr>
            <w:tcW w:w="1092" w:type="dxa"/>
            <w:tcMar>
              <w:top w:w="6" w:type="dxa"/>
              <w:left w:w="17" w:type="dxa"/>
              <w:bottom w:w="6" w:type="dxa"/>
              <w:right w:w="17" w:type="dxa"/>
            </w:tcMar>
            <w:vAlign w:val="center"/>
          </w:tcPr>
          <w:p w14:paraId="041F63E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c>
          <w:tcPr>
            <w:tcW w:w="1086" w:type="dxa"/>
            <w:tcMar>
              <w:top w:w="6" w:type="dxa"/>
              <w:left w:w="17" w:type="dxa"/>
              <w:bottom w:w="6" w:type="dxa"/>
              <w:right w:w="17" w:type="dxa"/>
            </w:tcMar>
            <w:vAlign w:val="center"/>
          </w:tcPr>
          <w:p w14:paraId="3AAE60A5">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4320</w:t>
            </w:r>
          </w:p>
        </w:tc>
        <w:tc>
          <w:tcPr>
            <w:tcW w:w="1181" w:type="dxa"/>
            <w:tcMar>
              <w:top w:w="6" w:type="dxa"/>
              <w:left w:w="17" w:type="dxa"/>
              <w:bottom w:w="6" w:type="dxa"/>
              <w:right w:w="17" w:type="dxa"/>
            </w:tcMar>
            <w:vAlign w:val="center"/>
          </w:tcPr>
          <w:p w14:paraId="39BDDE38">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10000</w:t>
            </w:r>
          </w:p>
        </w:tc>
        <w:tc>
          <w:tcPr>
            <w:tcW w:w="1270" w:type="dxa"/>
            <w:tcMar>
              <w:top w:w="6" w:type="dxa"/>
              <w:left w:w="17" w:type="dxa"/>
              <w:bottom w:w="6" w:type="dxa"/>
              <w:right w:w="17" w:type="dxa"/>
            </w:tcMar>
            <w:vAlign w:val="center"/>
          </w:tcPr>
          <w:p w14:paraId="52CF6B84">
            <w:pPr>
              <w:widowControl/>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10040</w:t>
            </w:r>
          </w:p>
        </w:tc>
        <w:tc>
          <w:tcPr>
            <w:tcW w:w="856" w:type="dxa"/>
            <w:tcMar>
              <w:top w:w="6" w:type="dxa"/>
              <w:left w:w="17" w:type="dxa"/>
              <w:bottom w:w="6" w:type="dxa"/>
              <w:right w:w="17" w:type="dxa"/>
            </w:tcMar>
            <w:vAlign w:val="center"/>
          </w:tcPr>
          <w:p w14:paraId="16EA3C07">
            <w:pPr>
              <w:widowControl/>
              <w:jc w:val="center"/>
              <w:textAlignment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5000</w:t>
            </w:r>
          </w:p>
        </w:tc>
        <w:tc>
          <w:tcPr>
            <w:tcW w:w="702" w:type="dxa"/>
            <w:vMerge w:val="continue"/>
            <w:tcMar>
              <w:top w:w="6" w:type="dxa"/>
              <w:left w:w="17" w:type="dxa"/>
              <w:bottom w:w="6" w:type="dxa"/>
              <w:right w:w="17" w:type="dxa"/>
            </w:tcMar>
            <w:vAlign w:val="center"/>
          </w:tcPr>
          <w:p w14:paraId="1086E63A">
            <w:pPr>
              <w:widowControl/>
              <w:jc w:val="left"/>
              <w:rPr>
                <w:rFonts w:hint="eastAsia" w:ascii="仿宋_GB2312" w:hAnsi="仿宋_GB2312" w:eastAsia="仿宋_GB2312" w:cs="仿宋_GB2312"/>
                <w:b w:val="0"/>
                <w:bCs w:val="0"/>
                <w:kern w:val="0"/>
                <w:sz w:val="21"/>
                <w:szCs w:val="21"/>
              </w:rPr>
            </w:pPr>
          </w:p>
        </w:tc>
        <w:tc>
          <w:tcPr>
            <w:tcW w:w="1450" w:type="dxa"/>
            <w:vMerge w:val="continue"/>
            <w:tcMar>
              <w:top w:w="6" w:type="dxa"/>
              <w:left w:w="17" w:type="dxa"/>
              <w:bottom w:w="6" w:type="dxa"/>
              <w:right w:w="17" w:type="dxa"/>
            </w:tcMar>
            <w:vAlign w:val="center"/>
          </w:tcPr>
          <w:p w14:paraId="672AA307">
            <w:pPr>
              <w:widowControl/>
              <w:jc w:val="left"/>
              <w:rPr>
                <w:rFonts w:hint="eastAsia" w:ascii="仿宋_GB2312" w:hAnsi="仿宋_GB2312" w:eastAsia="仿宋_GB2312" w:cs="仿宋_GB2312"/>
                <w:b w:val="0"/>
                <w:bCs w:val="0"/>
                <w:kern w:val="0"/>
                <w:sz w:val="21"/>
                <w:szCs w:val="21"/>
              </w:rPr>
            </w:pPr>
          </w:p>
        </w:tc>
      </w:tr>
      <w:tr w14:paraId="3259D8BE">
        <w:trPr>
          <w:trHeight w:val="567" w:hRule="atLeast"/>
          <w:jc w:val="center"/>
        </w:trPr>
        <w:tc>
          <w:tcPr>
            <w:tcW w:w="576" w:type="dxa"/>
            <w:tcMar>
              <w:top w:w="6" w:type="dxa"/>
              <w:left w:w="17" w:type="dxa"/>
              <w:bottom w:w="6" w:type="dxa"/>
              <w:right w:w="17" w:type="dxa"/>
            </w:tcMar>
            <w:vAlign w:val="center"/>
          </w:tcPr>
          <w:p w14:paraId="10F4A308">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22</w:t>
            </w:r>
          </w:p>
        </w:tc>
        <w:tc>
          <w:tcPr>
            <w:tcW w:w="1920" w:type="dxa"/>
            <w:gridSpan w:val="2"/>
            <w:tcMar>
              <w:top w:w="6" w:type="dxa"/>
              <w:left w:w="17" w:type="dxa"/>
              <w:bottom w:w="6" w:type="dxa"/>
              <w:right w:w="17" w:type="dxa"/>
            </w:tcMar>
            <w:vAlign w:val="center"/>
          </w:tcPr>
          <w:p w14:paraId="37DD21F7">
            <w:pPr>
              <w:widowControl/>
              <w:adjustRightInd w:val="0"/>
              <w:snapToGrid w:val="0"/>
              <w:jc w:val="center"/>
              <w:rPr>
                <w:rFonts w:hint="eastAsia" w:ascii="仿宋_GB2312" w:hAnsi="仿宋_GB2312" w:eastAsia="仿宋_GB2312" w:cs="仿宋_GB2312"/>
                <w:b w:val="0"/>
                <w:bCs w:val="0"/>
                <w:spacing w:val="-6"/>
                <w:kern w:val="0"/>
                <w:sz w:val="21"/>
                <w:szCs w:val="21"/>
              </w:rPr>
            </w:pPr>
            <w:r>
              <w:rPr>
                <w:rFonts w:hint="eastAsia" w:ascii="仿宋_GB2312" w:hAnsi="仿宋_GB2312" w:eastAsia="仿宋_GB2312" w:cs="仿宋_GB2312"/>
                <w:b w:val="0"/>
                <w:bCs w:val="0"/>
                <w:spacing w:val="-6"/>
                <w:kern w:val="0"/>
                <w:sz w:val="21"/>
                <w:szCs w:val="21"/>
              </w:rPr>
              <w:t>每千人常住人口执业（助理）医师数（人）</w:t>
            </w:r>
          </w:p>
        </w:tc>
        <w:tc>
          <w:tcPr>
            <w:tcW w:w="1092" w:type="dxa"/>
            <w:tcMar>
              <w:top w:w="6" w:type="dxa"/>
              <w:left w:w="17" w:type="dxa"/>
              <w:bottom w:w="6" w:type="dxa"/>
              <w:right w:w="17" w:type="dxa"/>
            </w:tcMar>
            <w:vAlign w:val="center"/>
          </w:tcPr>
          <w:p w14:paraId="16F6AA9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5.11</w:t>
            </w:r>
          </w:p>
        </w:tc>
        <w:tc>
          <w:tcPr>
            <w:tcW w:w="1086" w:type="dxa"/>
            <w:tcMar>
              <w:top w:w="6" w:type="dxa"/>
              <w:left w:w="17" w:type="dxa"/>
              <w:bottom w:w="6" w:type="dxa"/>
              <w:right w:w="17" w:type="dxa"/>
            </w:tcMar>
            <w:vAlign w:val="center"/>
          </w:tcPr>
          <w:p w14:paraId="7E1ADB7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4.9</w:t>
            </w:r>
          </w:p>
        </w:tc>
        <w:tc>
          <w:tcPr>
            <w:tcW w:w="1181" w:type="dxa"/>
            <w:tcMar>
              <w:top w:w="6" w:type="dxa"/>
              <w:left w:w="17" w:type="dxa"/>
              <w:bottom w:w="6" w:type="dxa"/>
              <w:right w:w="17" w:type="dxa"/>
            </w:tcMar>
            <w:vAlign w:val="center"/>
          </w:tcPr>
          <w:p w14:paraId="0566DF9B">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4.8</w:t>
            </w:r>
          </w:p>
        </w:tc>
        <w:tc>
          <w:tcPr>
            <w:tcW w:w="1270" w:type="dxa"/>
            <w:tcMar>
              <w:top w:w="6" w:type="dxa"/>
              <w:left w:w="17" w:type="dxa"/>
              <w:bottom w:w="6" w:type="dxa"/>
              <w:right w:w="17" w:type="dxa"/>
            </w:tcMar>
            <w:vAlign w:val="center"/>
          </w:tcPr>
          <w:p w14:paraId="69D96A0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5</w:t>
            </w:r>
          </w:p>
        </w:tc>
        <w:tc>
          <w:tcPr>
            <w:tcW w:w="856" w:type="dxa"/>
            <w:tcMar>
              <w:top w:w="6" w:type="dxa"/>
              <w:left w:w="17" w:type="dxa"/>
              <w:bottom w:w="6" w:type="dxa"/>
              <w:right w:w="17" w:type="dxa"/>
            </w:tcMar>
            <w:vAlign w:val="center"/>
          </w:tcPr>
          <w:p w14:paraId="630C314B">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5以上</w:t>
            </w:r>
          </w:p>
        </w:tc>
        <w:tc>
          <w:tcPr>
            <w:tcW w:w="702" w:type="dxa"/>
            <w:tcMar>
              <w:top w:w="6" w:type="dxa"/>
              <w:left w:w="17" w:type="dxa"/>
              <w:bottom w:w="6" w:type="dxa"/>
              <w:right w:w="17" w:type="dxa"/>
            </w:tcMar>
            <w:vAlign w:val="center"/>
          </w:tcPr>
          <w:p w14:paraId="7E2DF7AD">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预期性</w:t>
            </w:r>
          </w:p>
        </w:tc>
        <w:tc>
          <w:tcPr>
            <w:tcW w:w="1450" w:type="dxa"/>
            <w:tcMar>
              <w:top w:w="6" w:type="dxa"/>
              <w:left w:w="17" w:type="dxa"/>
              <w:bottom w:w="6" w:type="dxa"/>
              <w:right w:w="17" w:type="dxa"/>
            </w:tcMar>
            <w:vAlign w:val="center"/>
          </w:tcPr>
          <w:p w14:paraId="07FE9391">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区卫生健康委</w:t>
            </w:r>
          </w:p>
        </w:tc>
      </w:tr>
      <w:tr w14:paraId="4EB4A7B2">
        <w:trPr>
          <w:trHeight w:val="567" w:hRule="atLeast"/>
          <w:jc w:val="center"/>
        </w:trPr>
        <w:tc>
          <w:tcPr>
            <w:tcW w:w="576" w:type="dxa"/>
            <w:tcMar>
              <w:top w:w="6" w:type="dxa"/>
              <w:left w:w="17" w:type="dxa"/>
              <w:bottom w:w="6" w:type="dxa"/>
              <w:right w:w="17" w:type="dxa"/>
            </w:tcMar>
            <w:vAlign w:val="center"/>
          </w:tcPr>
          <w:p w14:paraId="277EF81D">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23</w:t>
            </w:r>
          </w:p>
        </w:tc>
        <w:tc>
          <w:tcPr>
            <w:tcW w:w="1920" w:type="dxa"/>
            <w:gridSpan w:val="2"/>
            <w:tcMar>
              <w:top w:w="6" w:type="dxa"/>
              <w:left w:w="17" w:type="dxa"/>
              <w:bottom w:w="6" w:type="dxa"/>
              <w:right w:w="17" w:type="dxa"/>
            </w:tcMar>
            <w:vAlign w:val="center"/>
          </w:tcPr>
          <w:p w14:paraId="387BEA7D">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每万名常住人口疾控力量配比（人）</w:t>
            </w:r>
          </w:p>
        </w:tc>
        <w:tc>
          <w:tcPr>
            <w:tcW w:w="1092" w:type="dxa"/>
            <w:tcMar>
              <w:top w:w="6" w:type="dxa"/>
              <w:left w:w="17" w:type="dxa"/>
              <w:bottom w:w="6" w:type="dxa"/>
              <w:right w:w="17" w:type="dxa"/>
            </w:tcMar>
            <w:vAlign w:val="center"/>
          </w:tcPr>
          <w:p w14:paraId="6F477A94">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达到市级</w:t>
            </w:r>
          </w:p>
          <w:p w14:paraId="3F5DA8B1">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要求（1.36）</w:t>
            </w:r>
          </w:p>
        </w:tc>
        <w:tc>
          <w:tcPr>
            <w:tcW w:w="1086" w:type="dxa"/>
            <w:tcMar>
              <w:top w:w="6" w:type="dxa"/>
              <w:left w:w="17" w:type="dxa"/>
              <w:bottom w:w="6" w:type="dxa"/>
              <w:right w:w="17" w:type="dxa"/>
            </w:tcMar>
            <w:vAlign w:val="center"/>
          </w:tcPr>
          <w:p w14:paraId="2038617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0.88</w:t>
            </w:r>
          </w:p>
        </w:tc>
        <w:tc>
          <w:tcPr>
            <w:tcW w:w="1181" w:type="dxa"/>
            <w:tcMar>
              <w:top w:w="6" w:type="dxa"/>
              <w:left w:w="17" w:type="dxa"/>
              <w:bottom w:w="6" w:type="dxa"/>
              <w:right w:w="17" w:type="dxa"/>
            </w:tcMar>
            <w:vAlign w:val="center"/>
          </w:tcPr>
          <w:p w14:paraId="450F82AD">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逐步</w:t>
            </w:r>
          </w:p>
          <w:p w14:paraId="2387B42D">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增加</w:t>
            </w:r>
          </w:p>
        </w:tc>
        <w:tc>
          <w:tcPr>
            <w:tcW w:w="1270" w:type="dxa"/>
            <w:tcMar>
              <w:top w:w="6" w:type="dxa"/>
              <w:left w:w="17" w:type="dxa"/>
              <w:bottom w:w="6" w:type="dxa"/>
              <w:right w:w="17" w:type="dxa"/>
            </w:tcMar>
            <w:vAlign w:val="center"/>
          </w:tcPr>
          <w:p w14:paraId="3D34379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1.75</w:t>
            </w:r>
          </w:p>
        </w:tc>
        <w:tc>
          <w:tcPr>
            <w:tcW w:w="856" w:type="dxa"/>
            <w:tcMar>
              <w:top w:w="6" w:type="dxa"/>
              <w:left w:w="17" w:type="dxa"/>
              <w:bottom w:w="6" w:type="dxa"/>
              <w:right w:w="17" w:type="dxa"/>
            </w:tcMar>
            <w:vAlign w:val="center"/>
          </w:tcPr>
          <w:p w14:paraId="5D4F1111">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1.75</w:t>
            </w:r>
          </w:p>
        </w:tc>
        <w:tc>
          <w:tcPr>
            <w:tcW w:w="702" w:type="dxa"/>
            <w:tcMar>
              <w:top w:w="6" w:type="dxa"/>
              <w:left w:w="17" w:type="dxa"/>
              <w:bottom w:w="6" w:type="dxa"/>
              <w:right w:w="17" w:type="dxa"/>
            </w:tcMar>
            <w:vAlign w:val="center"/>
          </w:tcPr>
          <w:p w14:paraId="1DD8B9C5">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约束性</w:t>
            </w:r>
          </w:p>
        </w:tc>
        <w:tc>
          <w:tcPr>
            <w:tcW w:w="1450" w:type="dxa"/>
            <w:tcMar>
              <w:top w:w="6" w:type="dxa"/>
              <w:left w:w="17" w:type="dxa"/>
              <w:bottom w:w="6" w:type="dxa"/>
              <w:right w:w="17" w:type="dxa"/>
            </w:tcMar>
            <w:vAlign w:val="center"/>
          </w:tcPr>
          <w:p w14:paraId="654DABE8">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区卫生健康委</w:t>
            </w:r>
          </w:p>
        </w:tc>
      </w:tr>
      <w:tr w14:paraId="72573765">
        <w:trPr>
          <w:trHeight w:val="968" w:hRule="atLeast"/>
          <w:jc w:val="center"/>
        </w:trPr>
        <w:tc>
          <w:tcPr>
            <w:tcW w:w="576" w:type="dxa"/>
            <w:tcMar>
              <w:top w:w="6" w:type="dxa"/>
              <w:left w:w="17" w:type="dxa"/>
              <w:bottom w:w="6" w:type="dxa"/>
              <w:right w:w="17" w:type="dxa"/>
            </w:tcMar>
            <w:vAlign w:val="center"/>
          </w:tcPr>
          <w:p w14:paraId="0911C8DD">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24</w:t>
            </w:r>
          </w:p>
        </w:tc>
        <w:tc>
          <w:tcPr>
            <w:tcW w:w="1920" w:type="dxa"/>
            <w:gridSpan w:val="2"/>
            <w:tcMar>
              <w:top w:w="6" w:type="dxa"/>
              <w:left w:w="17" w:type="dxa"/>
              <w:bottom w:w="6" w:type="dxa"/>
              <w:right w:w="17" w:type="dxa"/>
            </w:tcMar>
            <w:vAlign w:val="center"/>
          </w:tcPr>
          <w:p w14:paraId="3BDC4655">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单位地区生产总值生产安全事故死亡率（人/百亿元）</w:t>
            </w:r>
          </w:p>
        </w:tc>
        <w:tc>
          <w:tcPr>
            <w:tcW w:w="1092" w:type="dxa"/>
            <w:tcMar>
              <w:top w:w="6" w:type="dxa"/>
              <w:left w:w="17" w:type="dxa"/>
              <w:bottom w:w="6" w:type="dxa"/>
              <w:right w:w="17" w:type="dxa"/>
            </w:tcMar>
            <w:vAlign w:val="center"/>
          </w:tcPr>
          <w:p w14:paraId="34EDA3C2">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达到市级</w:t>
            </w:r>
          </w:p>
          <w:p w14:paraId="2BFBFBA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要求（&lt;0.9）</w:t>
            </w:r>
          </w:p>
        </w:tc>
        <w:tc>
          <w:tcPr>
            <w:tcW w:w="1086" w:type="dxa"/>
            <w:tcMar>
              <w:top w:w="6" w:type="dxa"/>
              <w:left w:w="17" w:type="dxa"/>
              <w:bottom w:w="6" w:type="dxa"/>
              <w:right w:w="17" w:type="dxa"/>
            </w:tcMar>
            <w:vAlign w:val="center"/>
          </w:tcPr>
          <w:p w14:paraId="1D9C1A3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0.2</w:t>
            </w:r>
          </w:p>
        </w:tc>
        <w:tc>
          <w:tcPr>
            <w:tcW w:w="1181" w:type="dxa"/>
            <w:tcMar>
              <w:top w:w="6" w:type="dxa"/>
              <w:left w:w="17" w:type="dxa"/>
              <w:bottom w:w="6" w:type="dxa"/>
              <w:right w:w="17" w:type="dxa"/>
            </w:tcMar>
            <w:vAlign w:val="center"/>
          </w:tcPr>
          <w:p w14:paraId="4BFE0B44">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不超过国家对北京市的要求</w:t>
            </w:r>
          </w:p>
        </w:tc>
        <w:tc>
          <w:tcPr>
            <w:tcW w:w="1270" w:type="dxa"/>
            <w:tcMar>
              <w:top w:w="6" w:type="dxa"/>
              <w:left w:w="17" w:type="dxa"/>
              <w:bottom w:w="6" w:type="dxa"/>
              <w:right w:w="17" w:type="dxa"/>
            </w:tcMar>
            <w:vAlign w:val="center"/>
          </w:tcPr>
          <w:p w14:paraId="283E128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0.25</w:t>
            </w:r>
          </w:p>
        </w:tc>
        <w:tc>
          <w:tcPr>
            <w:tcW w:w="856" w:type="dxa"/>
            <w:tcMar>
              <w:top w:w="6" w:type="dxa"/>
              <w:left w:w="17" w:type="dxa"/>
              <w:bottom w:w="6" w:type="dxa"/>
              <w:right w:w="17" w:type="dxa"/>
            </w:tcMar>
            <w:vAlign w:val="center"/>
          </w:tcPr>
          <w:p w14:paraId="63ACD045">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不超过国家对北京市的要求</w:t>
            </w:r>
          </w:p>
        </w:tc>
        <w:tc>
          <w:tcPr>
            <w:tcW w:w="702" w:type="dxa"/>
            <w:tcMar>
              <w:top w:w="6" w:type="dxa"/>
              <w:left w:w="17" w:type="dxa"/>
              <w:bottom w:w="6" w:type="dxa"/>
              <w:right w:w="17" w:type="dxa"/>
            </w:tcMar>
            <w:vAlign w:val="center"/>
          </w:tcPr>
          <w:p w14:paraId="765FC69B">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约束性</w:t>
            </w:r>
          </w:p>
        </w:tc>
        <w:tc>
          <w:tcPr>
            <w:tcW w:w="1450" w:type="dxa"/>
            <w:tcMar>
              <w:top w:w="6" w:type="dxa"/>
              <w:left w:w="17" w:type="dxa"/>
              <w:bottom w:w="6" w:type="dxa"/>
              <w:right w:w="17" w:type="dxa"/>
            </w:tcMar>
            <w:vAlign w:val="center"/>
          </w:tcPr>
          <w:p w14:paraId="5CC3D187">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区应急管理局</w:t>
            </w:r>
          </w:p>
        </w:tc>
      </w:tr>
      <w:tr w14:paraId="5EF6A32D">
        <w:trPr>
          <w:trHeight w:val="567" w:hRule="atLeast"/>
          <w:jc w:val="center"/>
        </w:trPr>
        <w:tc>
          <w:tcPr>
            <w:tcW w:w="576" w:type="dxa"/>
            <w:vMerge w:val="restart"/>
            <w:tcMar>
              <w:top w:w="6" w:type="dxa"/>
              <w:left w:w="17" w:type="dxa"/>
              <w:bottom w:w="6" w:type="dxa"/>
              <w:right w:w="17" w:type="dxa"/>
            </w:tcMar>
            <w:vAlign w:val="center"/>
          </w:tcPr>
          <w:p w14:paraId="4ACA5D2D">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25</w:t>
            </w:r>
          </w:p>
        </w:tc>
        <w:tc>
          <w:tcPr>
            <w:tcW w:w="862" w:type="dxa"/>
            <w:vMerge w:val="restart"/>
            <w:tcMar>
              <w:top w:w="6" w:type="dxa"/>
              <w:left w:w="17" w:type="dxa"/>
              <w:bottom w:w="6" w:type="dxa"/>
              <w:right w:w="17" w:type="dxa"/>
            </w:tcMar>
            <w:vAlign w:val="center"/>
          </w:tcPr>
          <w:p w14:paraId="76F26E91">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食品、药品安全</w:t>
            </w:r>
          </w:p>
        </w:tc>
        <w:tc>
          <w:tcPr>
            <w:tcW w:w="1058" w:type="dxa"/>
            <w:tcMar>
              <w:top w:w="6" w:type="dxa"/>
              <w:left w:w="17" w:type="dxa"/>
              <w:bottom w:w="6" w:type="dxa"/>
              <w:right w:w="17" w:type="dxa"/>
            </w:tcMar>
            <w:vAlign w:val="center"/>
          </w:tcPr>
          <w:p w14:paraId="1D56E2D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食品抽检合格率（%）</w:t>
            </w:r>
          </w:p>
        </w:tc>
        <w:tc>
          <w:tcPr>
            <w:tcW w:w="1092" w:type="dxa"/>
            <w:tcMar>
              <w:top w:w="6" w:type="dxa"/>
              <w:left w:w="17" w:type="dxa"/>
              <w:bottom w:w="6" w:type="dxa"/>
              <w:right w:w="17" w:type="dxa"/>
            </w:tcMar>
            <w:vAlign w:val="center"/>
          </w:tcPr>
          <w:p w14:paraId="31BE545E">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达到市级</w:t>
            </w:r>
          </w:p>
          <w:p w14:paraId="2AA87B88">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要求</w:t>
            </w:r>
          </w:p>
        </w:tc>
        <w:tc>
          <w:tcPr>
            <w:tcW w:w="1086" w:type="dxa"/>
            <w:tcMar>
              <w:top w:w="6" w:type="dxa"/>
              <w:left w:w="17" w:type="dxa"/>
              <w:bottom w:w="6" w:type="dxa"/>
              <w:right w:w="17" w:type="dxa"/>
            </w:tcMar>
            <w:vAlign w:val="center"/>
          </w:tcPr>
          <w:p w14:paraId="45FC0D07">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98.9</w:t>
            </w:r>
          </w:p>
        </w:tc>
        <w:tc>
          <w:tcPr>
            <w:tcW w:w="1181" w:type="dxa"/>
            <w:tcMar>
              <w:top w:w="6" w:type="dxa"/>
              <w:left w:w="17" w:type="dxa"/>
              <w:bottom w:w="6" w:type="dxa"/>
              <w:right w:w="17" w:type="dxa"/>
            </w:tcMar>
            <w:vAlign w:val="center"/>
          </w:tcPr>
          <w:p w14:paraId="4838C97E">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&gt;98.5</w:t>
            </w:r>
          </w:p>
        </w:tc>
        <w:tc>
          <w:tcPr>
            <w:tcW w:w="1270" w:type="dxa"/>
            <w:tcMar>
              <w:top w:w="6" w:type="dxa"/>
              <w:left w:w="17" w:type="dxa"/>
              <w:bottom w:w="6" w:type="dxa"/>
              <w:right w:w="17" w:type="dxa"/>
            </w:tcMar>
            <w:vAlign w:val="center"/>
          </w:tcPr>
          <w:p w14:paraId="3D34EA8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99.1</w:t>
            </w:r>
          </w:p>
        </w:tc>
        <w:tc>
          <w:tcPr>
            <w:tcW w:w="856" w:type="dxa"/>
            <w:tcMar>
              <w:top w:w="6" w:type="dxa"/>
              <w:left w:w="17" w:type="dxa"/>
              <w:bottom w:w="6" w:type="dxa"/>
              <w:right w:w="17" w:type="dxa"/>
            </w:tcMar>
            <w:vAlign w:val="center"/>
          </w:tcPr>
          <w:p w14:paraId="2A3C6D9F">
            <w:pPr>
              <w:widowControl/>
              <w:jc w:val="center"/>
              <w:textAlignment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&gt;98.5</w:t>
            </w:r>
          </w:p>
        </w:tc>
        <w:tc>
          <w:tcPr>
            <w:tcW w:w="702" w:type="dxa"/>
            <w:vMerge w:val="restart"/>
            <w:tcMar>
              <w:top w:w="6" w:type="dxa"/>
              <w:left w:w="17" w:type="dxa"/>
              <w:bottom w:w="6" w:type="dxa"/>
              <w:right w:w="17" w:type="dxa"/>
            </w:tcMar>
            <w:vAlign w:val="center"/>
          </w:tcPr>
          <w:p w14:paraId="33C30BC4">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约束性</w:t>
            </w:r>
          </w:p>
        </w:tc>
        <w:tc>
          <w:tcPr>
            <w:tcW w:w="1450" w:type="dxa"/>
            <w:vMerge w:val="restart"/>
            <w:tcMar>
              <w:top w:w="6" w:type="dxa"/>
              <w:left w:w="17" w:type="dxa"/>
              <w:bottom w:w="6" w:type="dxa"/>
              <w:right w:w="17" w:type="dxa"/>
            </w:tcMar>
            <w:vAlign w:val="center"/>
          </w:tcPr>
          <w:p w14:paraId="3B266037">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区市场监管局</w:t>
            </w:r>
          </w:p>
        </w:tc>
      </w:tr>
      <w:tr w14:paraId="295D55A1">
        <w:trPr>
          <w:trHeight w:val="567" w:hRule="atLeast"/>
          <w:jc w:val="center"/>
        </w:trPr>
        <w:tc>
          <w:tcPr>
            <w:tcW w:w="576" w:type="dxa"/>
            <w:vMerge w:val="continue"/>
            <w:tcMar>
              <w:top w:w="6" w:type="dxa"/>
              <w:left w:w="17" w:type="dxa"/>
              <w:bottom w:w="6" w:type="dxa"/>
              <w:right w:w="17" w:type="dxa"/>
            </w:tcMar>
            <w:vAlign w:val="center"/>
          </w:tcPr>
          <w:p w14:paraId="68E6E920">
            <w:pPr>
              <w:widowControl/>
              <w:jc w:val="left"/>
              <w:rPr>
                <w:rFonts w:hint="eastAsia" w:ascii="仿宋_GB2312" w:hAnsi="仿宋_GB2312" w:eastAsia="仿宋_GB2312" w:cs="仿宋_GB2312"/>
                <w:b w:val="0"/>
                <w:bCs w:val="0"/>
                <w:kern w:val="0"/>
                <w:sz w:val="21"/>
                <w:szCs w:val="21"/>
              </w:rPr>
            </w:pPr>
          </w:p>
        </w:tc>
        <w:tc>
          <w:tcPr>
            <w:tcW w:w="862" w:type="dxa"/>
            <w:vMerge w:val="continue"/>
            <w:tcMar>
              <w:top w:w="6" w:type="dxa"/>
              <w:left w:w="17" w:type="dxa"/>
              <w:bottom w:w="6" w:type="dxa"/>
              <w:right w:w="17" w:type="dxa"/>
            </w:tcMar>
            <w:vAlign w:val="center"/>
          </w:tcPr>
          <w:p w14:paraId="34329DE9">
            <w:pPr>
              <w:widowControl/>
              <w:jc w:val="left"/>
              <w:rPr>
                <w:rFonts w:hint="eastAsia" w:ascii="仿宋_GB2312" w:hAnsi="仿宋_GB2312" w:eastAsia="仿宋_GB2312" w:cs="仿宋_GB2312"/>
                <w:b w:val="0"/>
                <w:bCs w:val="0"/>
                <w:kern w:val="0"/>
                <w:sz w:val="21"/>
                <w:szCs w:val="21"/>
              </w:rPr>
            </w:pPr>
          </w:p>
        </w:tc>
        <w:tc>
          <w:tcPr>
            <w:tcW w:w="1058" w:type="dxa"/>
            <w:tcMar>
              <w:top w:w="6" w:type="dxa"/>
              <w:left w:w="17" w:type="dxa"/>
              <w:bottom w:w="6" w:type="dxa"/>
              <w:right w:w="17" w:type="dxa"/>
            </w:tcMar>
            <w:vAlign w:val="center"/>
          </w:tcPr>
          <w:p w14:paraId="08CDD45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药品抽检合格率（%）</w:t>
            </w:r>
          </w:p>
        </w:tc>
        <w:tc>
          <w:tcPr>
            <w:tcW w:w="1092" w:type="dxa"/>
            <w:tcMar>
              <w:top w:w="6" w:type="dxa"/>
              <w:left w:w="17" w:type="dxa"/>
              <w:bottom w:w="6" w:type="dxa"/>
              <w:right w:w="17" w:type="dxa"/>
            </w:tcMar>
            <w:vAlign w:val="center"/>
          </w:tcPr>
          <w:p w14:paraId="595EF8A7">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达到市级</w:t>
            </w:r>
          </w:p>
          <w:p w14:paraId="4AEF4C01">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要求</w:t>
            </w:r>
          </w:p>
        </w:tc>
        <w:tc>
          <w:tcPr>
            <w:tcW w:w="1086" w:type="dxa"/>
            <w:tcMar>
              <w:top w:w="6" w:type="dxa"/>
              <w:left w:w="17" w:type="dxa"/>
              <w:bottom w:w="6" w:type="dxa"/>
              <w:right w:w="17" w:type="dxa"/>
            </w:tcMar>
            <w:vAlign w:val="center"/>
          </w:tcPr>
          <w:p w14:paraId="3FE98F3E">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100</w:t>
            </w:r>
          </w:p>
        </w:tc>
        <w:tc>
          <w:tcPr>
            <w:tcW w:w="1181" w:type="dxa"/>
            <w:tcMar>
              <w:top w:w="6" w:type="dxa"/>
              <w:left w:w="17" w:type="dxa"/>
              <w:bottom w:w="6" w:type="dxa"/>
              <w:right w:w="17" w:type="dxa"/>
            </w:tcMar>
            <w:vAlign w:val="center"/>
          </w:tcPr>
          <w:p w14:paraId="7975A54D">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&gt;99</w:t>
            </w:r>
          </w:p>
        </w:tc>
        <w:tc>
          <w:tcPr>
            <w:tcW w:w="1270" w:type="dxa"/>
            <w:tcMar>
              <w:top w:w="6" w:type="dxa"/>
              <w:left w:w="17" w:type="dxa"/>
              <w:bottom w:w="6" w:type="dxa"/>
              <w:right w:w="17" w:type="dxa"/>
            </w:tcMar>
            <w:vAlign w:val="center"/>
          </w:tcPr>
          <w:p w14:paraId="2BD4B0BB">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100</w:t>
            </w:r>
          </w:p>
        </w:tc>
        <w:tc>
          <w:tcPr>
            <w:tcW w:w="856" w:type="dxa"/>
            <w:tcMar>
              <w:top w:w="6" w:type="dxa"/>
              <w:left w:w="17" w:type="dxa"/>
              <w:bottom w:w="6" w:type="dxa"/>
              <w:right w:w="17" w:type="dxa"/>
            </w:tcMar>
            <w:vAlign w:val="center"/>
          </w:tcPr>
          <w:p w14:paraId="2525A737">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&gt;99</w:t>
            </w:r>
          </w:p>
        </w:tc>
        <w:tc>
          <w:tcPr>
            <w:tcW w:w="702" w:type="dxa"/>
            <w:vMerge w:val="continue"/>
            <w:tcMar>
              <w:top w:w="6" w:type="dxa"/>
              <w:left w:w="17" w:type="dxa"/>
              <w:bottom w:w="6" w:type="dxa"/>
              <w:right w:w="17" w:type="dxa"/>
            </w:tcMar>
            <w:vAlign w:val="center"/>
          </w:tcPr>
          <w:p w14:paraId="50AEC150">
            <w:pPr>
              <w:widowControl/>
              <w:jc w:val="left"/>
              <w:rPr>
                <w:rFonts w:hint="eastAsia" w:ascii="仿宋_GB2312" w:hAnsi="仿宋_GB2312" w:eastAsia="仿宋_GB2312" w:cs="仿宋_GB2312"/>
                <w:b w:val="0"/>
                <w:bCs w:val="0"/>
                <w:kern w:val="0"/>
                <w:sz w:val="21"/>
                <w:szCs w:val="21"/>
              </w:rPr>
            </w:pPr>
          </w:p>
        </w:tc>
        <w:tc>
          <w:tcPr>
            <w:tcW w:w="1450" w:type="dxa"/>
            <w:vMerge w:val="continue"/>
            <w:tcMar>
              <w:top w:w="6" w:type="dxa"/>
              <w:left w:w="17" w:type="dxa"/>
              <w:bottom w:w="6" w:type="dxa"/>
              <w:right w:w="17" w:type="dxa"/>
            </w:tcMar>
            <w:vAlign w:val="center"/>
          </w:tcPr>
          <w:p w14:paraId="0BB5378E">
            <w:pPr>
              <w:widowControl/>
              <w:jc w:val="left"/>
              <w:rPr>
                <w:rFonts w:hint="eastAsia" w:ascii="仿宋_GB2312" w:hAnsi="仿宋_GB2312" w:eastAsia="仿宋_GB2312" w:cs="仿宋_GB2312"/>
                <w:b w:val="0"/>
                <w:bCs w:val="0"/>
                <w:kern w:val="0"/>
                <w:sz w:val="21"/>
                <w:szCs w:val="21"/>
              </w:rPr>
            </w:pPr>
          </w:p>
        </w:tc>
      </w:tr>
      <w:tr w14:paraId="3952A720">
        <w:trPr>
          <w:trHeight w:val="452" w:hRule="atLeast"/>
          <w:jc w:val="center"/>
        </w:trPr>
        <w:tc>
          <w:tcPr>
            <w:tcW w:w="10133" w:type="dxa"/>
            <w:gridSpan w:val="10"/>
            <w:tcMar>
              <w:top w:w="6" w:type="dxa"/>
              <w:left w:w="17" w:type="dxa"/>
              <w:bottom w:w="6" w:type="dxa"/>
              <w:right w:w="17" w:type="dxa"/>
            </w:tcMar>
            <w:vAlign w:val="center"/>
          </w:tcPr>
          <w:p w14:paraId="04F00E70">
            <w:pPr>
              <w:widowControl/>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“十四五”规划外指标</w:t>
            </w:r>
          </w:p>
        </w:tc>
      </w:tr>
      <w:tr w14:paraId="140CF271">
        <w:trPr>
          <w:trHeight w:val="567" w:hRule="atLeast"/>
          <w:jc w:val="center"/>
        </w:trPr>
        <w:tc>
          <w:tcPr>
            <w:tcW w:w="576" w:type="dxa"/>
            <w:noWrap/>
            <w:tcMar>
              <w:top w:w="6" w:type="dxa"/>
              <w:left w:w="17" w:type="dxa"/>
              <w:bottom w:w="6" w:type="dxa"/>
              <w:right w:w="17" w:type="dxa"/>
            </w:tcMar>
            <w:vAlign w:val="center"/>
          </w:tcPr>
          <w:p w14:paraId="6FFBF25B">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26</w:t>
            </w:r>
          </w:p>
        </w:tc>
        <w:tc>
          <w:tcPr>
            <w:tcW w:w="1920" w:type="dxa"/>
            <w:gridSpan w:val="2"/>
            <w:tcMar>
              <w:top w:w="6" w:type="dxa"/>
              <w:left w:w="17" w:type="dxa"/>
              <w:bottom w:w="6" w:type="dxa"/>
              <w:right w:w="17" w:type="dxa"/>
            </w:tcMar>
            <w:vAlign w:val="center"/>
          </w:tcPr>
          <w:p w14:paraId="7D72EB87">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区级一般公共预算收入增速（%）</w:t>
            </w:r>
          </w:p>
        </w:tc>
        <w:tc>
          <w:tcPr>
            <w:tcW w:w="1092" w:type="dxa"/>
            <w:tcMar>
              <w:top w:w="6" w:type="dxa"/>
              <w:left w:w="17" w:type="dxa"/>
              <w:bottom w:w="6" w:type="dxa"/>
              <w:right w:w="17" w:type="dxa"/>
            </w:tcMar>
            <w:vAlign w:val="center"/>
          </w:tcPr>
          <w:p w14:paraId="145782E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c>
          <w:tcPr>
            <w:tcW w:w="1086" w:type="dxa"/>
            <w:tcMar>
              <w:top w:w="6" w:type="dxa"/>
              <w:left w:w="17" w:type="dxa"/>
              <w:bottom w:w="6" w:type="dxa"/>
              <w:right w:w="17" w:type="dxa"/>
            </w:tcMar>
            <w:vAlign w:val="center"/>
          </w:tcPr>
          <w:p w14:paraId="1C65D55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8</w:t>
            </w:r>
          </w:p>
        </w:tc>
        <w:tc>
          <w:tcPr>
            <w:tcW w:w="1181" w:type="dxa"/>
            <w:noWrap/>
            <w:tcMar>
              <w:top w:w="6" w:type="dxa"/>
              <w:left w:w="17" w:type="dxa"/>
              <w:bottom w:w="6" w:type="dxa"/>
              <w:right w:w="17" w:type="dxa"/>
            </w:tcMar>
            <w:vAlign w:val="center"/>
          </w:tcPr>
          <w:p w14:paraId="05EEAE3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4</w:t>
            </w:r>
          </w:p>
        </w:tc>
        <w:tc>
          <w:tcPr>
            <w:tcW w:w="1270" w:type="dxa"/>
            <w:tcMar>
              <w:top w:w="6" w:type="dxa"/>
              <w:left w:w="17" w:type="dxa"/>
              <w:bottom w:w="6" w:type="dxa"/>
              <w:right w:w="17" w:type="dxa"/>
            </w:tcMar>
            <w:vAlign w:val="center"/>
          </w:tcPr>
          <w:p w14:paraId="7CE37D27">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0.1</w:t>
            </w:r>
          </w:p>
          <w:p w14:paraId="1492FBE4">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（同口径8%）</w:t>
            </w:r>
          </w:p>
        </w:tc>
        <w:tc>
          <w:tcPr>
            <w:tcW w:w="856" w:type="dxa"/>
            <w:tcMar>
              <w:top w:w="6" w:type="dxa"/>
              <w:left w:w="17" w:type="dxa"/>
              <w:bottom w:w="6" w:type="dxa"/>
              <w:right w:w="17" w:type="dxa"/>
            </w:tcMar>
            <w:vAlign w:val="center"/>
          </w:tcPr>
          <w:p w14:paraId="6C3864B9">
            <w:pPr>
              <w:widowControl/>
              <w:jc w:val="center"/>
              <w:textAlignment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4</w:t>
            </w:r>
          </w:p>
        </w:tc>
        <w:tc>
          <w:tcPr>
            <w:tcW w:w="702" w:type="dxa"/>
            <w:tcMar>
              <w:top w:w="6" w:type="dxa"/>
              <w:left w:w="17" w:type="dxa"/>
              <w:bottom w:w="6" w:type="dxa"/>
              <w:right w:w="17" w:type="dxa"/>
            </w:tcMar>
            <w:vAlign w:val="center"/>
          </w:tcPr>
          <w:p w14:paraId="6998387E">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预期性</w:t>
            </w:r>
          </w:p>
        </w:tc>
        <w:tc>
          <w:tcPr>
            <w:tcW w:w="1450" w:type="dxa"/>
            <w:tcMar>
              <w:top w:w="6" w:type="dxa"/>
              <w:left w:w="17" w:type="dxa"/>
              <w:bottom w:w="6" w:type="dxa"/>
              <w:right w:w="17" w:type="dxa"/>
            </w:tcMar>
            <w:vAlign w:val="center"/>
          </w:tcPr>
          <w:p w14:paraId="1A3B4A02">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区财政局</w:t>
            </w:r>
          </w:p>
        </w:tc>
      </w:tr>
      <w:tr w14:paraId="6CC5E6B2">
        <w:trPr>
          <w:trHeight w:val="567" w:hRule="atLeast"/>
          <w:jc w:val="center"/>
        </w:trPr>
        <w:tc>
          <w:tcPr>
            <w:tcW w:w="576" w:type="dxa"/>
            <w:noWrap/>
            <w:tcMar>
              <w:top w:w="6" w:type="dxa"/>
              <w:left w:w="17" w:type="dxa"/>
              <w:bottom w:w="6" w:type="dxa"/>
              <w:right w:w="17" w:type="dxa"/>
            </w:tcMar>
            <w:vAlign w:val="center"/>
          </w:tcPr>
          <w:p w14:paraId="6949BBE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27</w:t>
            </w:r>
          </w:p>
        </w:tc>
        <w:tc>
          <w:tcPr>
            <w:tcW w:w="1920" w:type="dxa"/>
            <w:gridSpan w:val="2"/>
            <w:tcMar>
              <w:top w:w="6" w:type="dxa"/>
              <w:left w:w="17" w:type="dxa"/>
              <w:bottom w:w="6" w:type="dxa"/>
              <w:right w:w="17" w:type="dxa"/>
            </w:tcMar>
            <w:vAlign w:val="center"/>
          </w:tcPr>
          <w:p w14:paraId="12D9141A">
            <w:pPr>
              <w:widowControl/>
              <w:adjustRightInd w:val="0"/>
              <w:snapToGrid w:val="0"/>
              <w:jc w:val="center"/>
              <w:rPr>
                <w:rFonts w:hint="eastAsia" w:ascii="仿宋_GB2312" w:hAnsi="仿宋_GB2312" w:eastAsia="仿宋_GB2312" w:cs="仿宋_GB2312"/>
                <w:b w:val="0"/>
                <w:bCs w:val="0"/>
                <w:spacing w:val="-6"/>
                <w:kern w:val="0"/>
                <w:sz w:val="21"/>
                <w:szCs w:val="21"/>
              </w:rPr>
            </w:pPr>
            <w:r>
              <w:rPr>
                <w:rFonts w:hint="eastAsia" w:ascii="仿宋_GB2312" w:hAnsi="仿宋_GB2312" w:eastAsia="仿宋_GB2312" w:cs="仿宋_GB2312"/>
                <w:b w:val="0"/>
                <w:bCs w:val="0"/>
                <w:spacing w:val="-6"/>
                <w:kern w:val="0"/>
                <w:sz w:val="21"/>
                <w:szCs w:val="21"/>
              </w:rPr>
              <w:t>规模以上高新技术企业总收入增速（%）</w:t>
            </w:r>
          </w:p>
        </w:tc>
        <w:tc>
          <w:tcPr>
            <w:tcW w:w="1092" w:type="dxa"/>
            <w:tcMar>
              <w:top w:w="6" w:type="dxa"/>
              <w:left w:w="17" w:type="dxa"/>
              <w:bottom w:w="6" w:type="dxa"/>
              <w:right w:w="17" w:type="dxa"/>
            </w:tcMar>
            <w:vAlign w:val="center"/>
          </w:tcPr>
          <w:p w14:paraId="0F8632B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c>
          <w:tcPr>
            <w:tcW w:w="1086" w:type="dxa"/>
            <w:tcMar>
              <w:top w:w="6" w:type="dxa"/>
              <w:left w:w="17" w:type="dxa"/>
              <w:bottom w:w="6" w:type="dxa"/>
              <w:right w:w="17" w:type="dxa"/>
            </w:tcMar>
            <w:vAlign w:val="center"/>
          </w:tcPr>
          <w:p w14:paraId="1881DA3C">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25左右</w:t>
            </w:r>
          </w:p>
        </w:tc>
        <w:tc>
          <w:tcPr>
            <w:tcW w:w="1181" w:type="dxa"/>
            <w:noWrap/>
            <w:tcMar>
              <w:top w:w="6" w:type="dxa"/>
              <w:left w:w="17" w:type="dxa"/>
              <w:bottom w:w="6" w:type="dxa"/>
              <w:right w:w="17" w:type="dxa"/>
            </w:tcMar>
            <w:vAlign w:val="center"/>
          </w:tcPr>
          <w:p w14:paraId="0CD6FD9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10以上</w:t>
            </w:r>
          </w:p>
        </w:tc>
        <w:tc>
          <w:tcPr>
            <w:tcW w:w="1270" w:type="dxa"/>
            <w:tcMar>
              <w:top w:w="6" w:type="dxa"/>
              <w:left w:w="17" w:type="dxa"/>
              <w:bottom w:w="6" w:type="dxa"/>
              <w:right w:w="17" w:type="dxa"/>
            </w:tcMar>
            <w:vAlign w:val="center"/>
          </w:tcPr>
          <w:p w14:paraId="421FA15D">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7.5</w:t>
            </w:r>
          </w:p>
        </w:tc>
        <w:tc>
          <w:tcPr>
            <w:tcW w:w="856" w:type="dxa"/>
            <w:tcMar>
              <w:top w:w="6" w:type="dxa"/>
              <w:left w:w="17" w:type="dxa"/>
              <w:bottom w:w="6" w:type="dxa"/>
              <w:right w:w="17" w:type="dxa"/>
            </w:tcMar>
            <w:vAlign w:val="center"/>
          </w:tcPr>
          <w:p w14:paraId="72691C33">
            <w:pPr>
              <w:widowControl/>
              <w:jc w:val="center"/>
              <w:textAlignment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8</w:t>
            </w:r>
          </w:p>
        </w:tc>
        <w:tc>
          <w:tcPr>
            <w:tcW w:w="702" w:type="dxa"/>
            <w:tcMar>
              <w:top w:w="6" w:type="dxa"/>
              <w:left w:w="17" w:type="dxa"/>
              <w:bottom w:w="6" w:type="dxa"/>
              <w:right w:w="17" w:type="dxa"/>
            </w:tcMar>
            <w:vAlign w:val="center"/>
          </w:tcPr>
          <w:p w14:paraId="76172551">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预期性</w:t>
            </w:r>
          </w:p>
        </w:tc>
        <w:tc>
          <w:tcPr>
            <w:tcW w:w="1450" w:type="dxa"/>
            <w:tcMar>
              <w:top w:w="6" w:type="dxa"/>
              <w:left w:w="17" w:type="dxa"/>
              <w:bottom w:w="6" w:type="dxa"/>
              <w:right w:w="17" w:type="dxa"/>
            </w:tcMar>
            <w:vAlign w:val="center"/>
          </w:tcPr>
          <w:p w14:paraId="23656753">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中关村科学城综合部</w:t>
            </w:r>
          </w:p>
        </w:tc>
      </w:tr>
      <w:tr w14:paraId="4DD201A0">
        <w:trPr>
          <w:trHeight w:val="395" w:hRule="atLeast"/>
          <w:jc w:val="center"/>
        </w:trPr>
        <w:tc>
          <w:tcPr>
            <w:tcW w:w="576" w:type="dxa"/>
            <w:noWrap/>
            <w:tcMar>
              <w:top w:w="6" w:type="dxa"/>
              <w:left w:w="17" w:type="dxa"/>
              <w:bottom w:w="6" w:type="dxa"/>
              <w:right w:w="17" w:type="dxa"/>
            </w:tcMar>
            <w:vAlign w:val="center"/>
          </w:tcPr>
          <w:p w14:paraId="3CB3311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28</w:t>
            </w:r>
          </w:p>
        </w:tc>
        <w:tc>
          <w:tcPr>
            <w:tcW w:w="1920" w:type="dxa"/>
            <w:gridSpan w:val="2"/>
            <w:tcMar>
              <w:top w:w="6" w:type="dxa"/>
              <w:left w:w="17" w:type="dxa"/>
              <w:bottom w:w="6" w:type="dxa"/>
              <w:right w:w="17" w:type="dxa"/>
            </w:tcMar>
            <w:vAlign w:val="center"/>
          </w:tcPr>
          <w:p w14:paraId="4F5F048E">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污水处理率（%）</w:t>
            </w:r>
          </w:p>
        </w:tc>
        <w:tc>
          <w:tcPr>
            <w:tcW w:w="1092" w:type="dxa"/>
            <w:tcMar>
              <w:top w:w="6" w:type="dxa"/>
              <w:left w:w="17" w:type="dxa"/>
              <w:bottom w:w="6" w:type="dxa"/>
              <w:right w:w="17" w:type="dxa"/>
            </w:tcMar>
            <w:vAlign w:val="center"/>
          </w:tcPr>
          <w:p w14:paraId="3FFE3F24">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c>
          <w:tcPr>
            <w:tcW w:w="1086" w:type="dxa"/>
            <w:tcMar>
              <w:top w:w="6" w:type="dxa"/>
              <w:left w:w="17" w:type="dxa"/>
              <w:bottom w:w="6" w:type="dxa"/>
              <w:right w:w="17" w:type="dxa"/>
            </w:tcMar>
            <w:vAlign w:val="center"/>
          </w:tcPr>
          <w:p w14:paraId="1F1E0F5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99.5</w:t>
            </w:r>
          </w:p>
        </w:tc>
        <w:tc>
          <w:tcPr>
            <w:tcW w:w="1181" w:type="dxa"/>
            <w:noWrap/>
            <w:tcMar>
              <w:top w:w="6" w:type="dxa"/>
              <w:left w:w="17" w:type="dxa"/>
              <w:bottom w:w="6" w:type="dxa"/>
              <w:right w:w="17" w:type="dxa"/>
            </w:tcMar>
            <w:vAlign w:val="center"/>
          </w:tcPr>
          <w:p w14:paraId="3F668ED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99.5以上</w:t>
            </w:r>
          </w:p>
        </w:tc>
        <w:tc>
          <w:tcPr>
            <w:tcW w:w="1270" w:type="dxa"/>
            <w:tcMar>
              <w:top w:w="6" w:type="dxa"/>
              <w:left w:w="17" w:type="dxa"/>
              <w:bottom w:w="6" w:type="dxa"/>
              <w:right w:w="17" w:type="dxa"/>
            </w:tcMar>
            <w:vAlign w:val="center"/>
          </w:tcPr>
          <w:p w14:paraId="141306A8">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99.7</w:t>
            </w:r>
          </w:p>
        </w:tc>
        <w:tc>
          <w:tcPr>
            <w:tcW w:w="856" w:type="dxa"/>
            <w:tcMar>
              <w:top w:w="6" w:type="dxa"/>
              <w:left w:w="17" w:type="dxa"/>
              <w:bottom w:w="6" w:type="dxa"/>
              <w:right w:w="17" w:type="dxa"/>
            </w:tcMar>
            <w:vAlign w:val="center"/>
          </w:tcPr>
          <w:p w14:paraId="19450195">
            <w:pPr>
              <w:widowControl/>
              <w:jc w:val="center"/>
              <w:textAlignment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lang w:bidi="ar"/>
              </w:rPr>
              <w:t>99.7</w:t>
            </w:r>
          </w:p>
        </w:tc>
        <w:tc>
          <w:tcPr>
            <w:tcW w:w="702" w:type="dxa"/>
            <w:tcMar>
              <w:top w:w="6" w:type="dxa"/>
              <w:left w:w="17" w:type="dxa"/>
              <w:bottom w:w="6" w:type="dxa"/>
              <w:right w:w="17" w:type="dxa"/>
            </w:tcMar>
            <w:vAlign w:val="center"/>
          </w:tcPr>
          <w:p w14:paraId="29D30FE1">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约束性</w:t>
            </w:r>
          </w:p>
        </w:tc>
        <w:tc>
          <w:tcPr>
            <w:tcW w:w="1450" w:type="dxa"/>
            <w:tcMar>
              <w:top w:w="6" w:type="dxa"/>
              <w:left w:w="17" w:type="dxa"/>
              <w:bottom w:w="6" w:type="dxa"/>
              <w:right w:w="17" w:type="dxa"/>
            </w:tcMar>
            <w:vAlign w:val="center"/>
          </w:tcPr>
          <w:p w14:paraId="50106B0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区水务局</w:t>
            </w:r>
          </w:p>
        </w:tc>
      </w:tr>
      <w:tr w14:paraId="2E39A390">
        <w:trPr>
          <w:trHeight w:val="567" w:hRule="atLeast"/>
          <w:jc w:val="center"/>
        </w:trPr>
        <w:tc>
          <w:tcPr>
            <w:tcW w:w="576" w:type="dxa"/>
            <w:noWrap/>
            <w:tcMar>
              <w:top w:w="6" w:type="dxa"/>
              <w:left w:w="17" w:type="dxa"/>
              <w:bottom w:w="6" w:type="dxa"/>
              <w:right w:w="17" w:type="dxa"/>
            </w:tcMar>
            <w:vAlign w:val="center"/>
          </w:tcPr>
          <w:p w14:paraId="77B48E3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29</w:t>
            </w:r>
          </w:p>
        </w:tc>
        <w:tc>
          <w:tcPr>
            <w:tcW w:w="1920" w:type="dxa"/>
            <w:gridSpan w:val="2"/>
            <w:tcMar>
              <w:top w:w="6" w:type="dxa"/>
              <w:left w:w="17" w:type="dxa"/>
              <w:bottom w:w="6" w:type="dxa"/>
              <w:right w:w="17" w:type="dxa"/>
            </w:tcMar>
            <w:vAlign w:val="center"/>
          </w:tcPr>
          <w:p w14:paraId="4D6A3AA1">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每千名常住人口养老床位数（张）</w:t>
            </w:r>
          </w:p>
        </w:tc>
        <w:tc>
          <w:tcPr>
            <w:tcW w:w="1092" w:type="dxa"/>
            <w:tcMar>
              <w:top w:w="6" w:type="dxa"/>
              <w:left w:w="17" w:type="dxa"/>
              <w:bottom w:w="6" w:type="dxa"/>
              <w:right w:w="17" w:type="dxa"/>
            </w:tcMar>
            <w:vAlign w:val="center"/>
          </w:tcPr>
          <w:p w14:paraId="1E677694">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c>
          <w:tcPr>
            <w:tcW w:w="1086" w:type="dxa"/>
            <w:tcMar>
              <w:top w:w="6" w:type="dxa"/>
              <w:left w:w="17" w:type="dxa"/>
              <w:bottom w:w="6" w:type="dxa"/>
              <w:right w:w="17" w:type="dxa"/>
            </w:tcMar>
            <w:vAlign w:val="center"/>
          </w:tcPr>
          <w:p w14:paraId="0047365C">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5.4</w:t>
            </w:r>
          </w:p>
        </w:tc>
        <w:tc>
          <w:tcPr>
            <w:tcW w:w="1181" w:type="dxa"/>
            <w:noWrap/>
            <w:tcMar>
              <w:top w:w="6" w:type="dxa"/>
              <w:left w:w="17" w:type="dxa"/>
              <w:bottom w:w="6" w:type="dxa"/>
              <w:right w:w="17" w:type="dxa"/>
            </w:tcMar>
            <w:vAlign w:val="center"/>
          </w:tcPr>
          <w:p w14:paraId="40180D77">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7.2（调整为5.5）</w:t>
            </w:r>
          </w:p>
        </w:tc>
        <w:tc>
          <w:tcPr>
            <w:tcW w:w="1270" w:type="dxa"/>
            <w:tcMar>
              <w:top w:w="6" w:type="dxa"/>
              <w:left w:w="17" w:type="dxa"/>
              <w:bottom w:w="6" w:type="dxa"/>
              <w:right w:w="17" w:type="dxa"/>
            </w:tcMar>
            <w:vAlign w:val="center"/>
          </w:tcPr>
          <w:p w14:paraId="3A3BB585">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5.5左右</w:t>
            </w:r>
          </w:p>
        </w:tc>
        <w:tc>
          <w:tcPr>
            <w:tcW w:w="856" w:type="dxa"/>
            <w:tcMar>
              <w:top w:w="6" w:type="dxa"/>
              <w:left w:w="17" w:type="dxa"/>
              <w:bottom w:w="6" w:type="dxa"/>
              <w:right w:w="17" w:type="dxa"/>
            </w:tcMar>
            <w:vAlign w:val="center"/>
          </w:tcPr>
          <w:p w14:paraId="7BAE16A2">
            <w:pPr>
              <w:widowControl/>
              <w:jc w:val="center"/>
              <w:textAlignment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5.5</w:t>
            </w:r>
          </w:p>
        </w:tc>
        <w:tc>
          <w:tcPr>
            <w:tcW w:w="702" w:type="dxa"/>
            <w:tcMar>
              <w:top w:w="6" w:type="dxa"/>
              <w:left w:w="17" w:type="dxa"/>
              <w:bottom w:w="6" w:type="dxa"/>
              <w:right w:w="17" w:type="dxa"/>
            </w:tcMar>
            <w:vAlign w:val="center"/>
          </w:tcPr>
          <w:p w14:paraId="4D4295F4">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预期性</w:t>
            </w:r>
          </w:p>
        </w:tc>
        <w:tc>
          <w:tcPr>
            <w:tcW w:w="1450" w:type="dxa"/>
            <w:tcMar>
              <w:top w:w="6" w:type="dxa"/>
              <w:left w:w="17" w:type="dxa"/>
              <w:bottom w:w="6" w:type="dxa"/>
              <w:right w:w="17" w:type="dxa"/>
            </w:tcMar>
            <w:vAlign w:val="center"/>
          </w:tcPr>
          <w:p w14:paraId="1427C6DD">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区民政局</w:t>
            </w:r>
          </w:p>
        </w:tc>
      </w:tr>
      <w:tr w14:paraId="158DB534">
        <w:trPr>
          <w:trHeight w:val="473" w:hRule="atLeast"/>
          <w:jc w:val="center"/>
        </w:trPr>
        <w:tc>
          <w:tcPr>
            <w:tcW w:w="576" w:type="dxa"/>
            <w:noWrap/>
            <w:tcMar>
              <w:top w:w="6" w:type="dxa"/>
              <w:left w:w="17" w:type="dxa"/>
              <w:bottom w:w="6" w:type="dxa"/>
              <w:right w:w="17" w:type="dxa"/>
            </w:tcMar>
            <w:vAlign w:val="center"/>
          </w:tcPr>
          <w:p w14:paraId="4C2EBE2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30</w:t>
            </w:r>
          </w:p>
        </w:tc>
        <w:tc>
          <w:tcPr>
            <w:tcW w:w="1920" w:type="dxa"/>
            <w:gridSpan w:val="2"/>
            <w:tcMar>
              <w:top w:w="6" w:type="dxa"/>
              <w:left w:w="17" w:type="dxa"/>
              <w:bottom w:w="6" w:type="dxa"/>
              <w:right w:w="17" w:type="dxa"/>
            </w:tcMar>
            <w:vAlign w:val="center"/>
          </w:tcPr>
          <w:p w14:paraId="54AA3F6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每千名常住人口全科医生数（人）</w:t>
            </w:r>
          </w:p>
        </w:tc>
        <w:tc>
          <w:tcPr>
            <w:tcW w:w="1092" w:type="dxa"/>
            <w:tcMar>
              <w:top w:w="6" w:type="dxa"/>
              <w:left w:w="17" w:type="dxa"/>
              <w:bottom w:w="6" w:type="dxa"/>
              <w:right w:w="17" w:type="dxa"/>
            </w:tcMar>
            <w:vAlign w:val="center"/>
          </w:tcPr>
          <w:p w14:paraId="44EBC2E1">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c>
          <w:tcPr>
            <w:tcW w:w="1086" w:type="dxa"/>
            <w:tcMar>
              <w:top w:w="6" w:type="dxa"/>
              <w:left w:w="17" w:type="dxa"/>
              <w:bottom w:w="6" w:type="dxa"/>
              <w:right w:w="17" w:type="dxa"/>
            </w:tcMar>
            <w:vAlign w:val="center"/>
          </w:tcPr>
          <w:p w14:paraId="7EC71766">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3.1</w:t>
            </w:r>
          </w:p>
        </w:tc>
        <w:tc>
          <w:tcPr>
            <w:tcW w:w="1181" w:type="dxa"/>
            <w:noWrap/>
            <w:tcMar>
              <w:top w:w="6" w:type="dxa"/>
              <w:left w:w="17" w:type="dxa"/>
              <w:bottom w:w="6" w:type="dxa"/>
              <w:right w:w="17" w:type="dxa"/>
            </w:tcMar>
            <w:vAlign w:val="center"/>
          </w:tcPr>
          <w:p w14:paraId="66225BFA">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3.1</w:t>
            </w:r>
          </w:p>
        </w:tc>
        <w:tc>
          <w:tcPr>
            <w:tcW w:w="1270" w:type="dxa"/>
            <w:tcMar>
              <w:top w:w="6" w:type="dxa"/>
              <w:left w:w="17" w:type="dxa"/>
              <w:bottom w:w="6" w:type="dxa"/>
              <w:right w:w="17" w:type="dxa"/>
            </w:tcMar>
            <w:vAlign w:val="center"/>
          </w:tcPr>
          <w:p w14:paraId="14E480F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3.1</w:t>
            </w:r>
          </w:p>
        </w:tc>
        <w:tc>
          <w:tcPr>
            <w:tcW w:w="856" w:type="dxa"/>
            <w:tcMar>
              <w:top w:w="6" w:type="dxa"/>
              <w:left w:w="17" w:type="dxa"/>
              <w:bottom w:w="6" w:type="dxa"/>
              <w:right w:w="17" w:type="dxa"/>
            </w:tcMar>
            <w:vAlign w:val="center"/>
          </w:tcPr>
          <w:p w14:paraId="6ECFF913">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3.2</w:t>
            </w:r>
          </w:p>
        </w:tc>
        <w:tc>
          <w:tcPr>
            <w:tcW w:w="702" w:type="dxa"/>
            <w:tcMar>
              <w:top w:w="6" w:type="dxa"/>
              <w:left w:w="17" w:type="dxa"/>
              <w:bottom w:w="6" w:type="dxa"/>
              <w:right w:w="17" w:type="dxa"/>
            </w:tcMar>
            <w:vAlign w:val="center"/>
          </w:tcPr>
          <w:p w14:paraId="132EAC29">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预期性</w:t>
            </w:r>
          </w:p>
        </w:tc>
        <w:tc>
          <w:tcPr>
            <w:tcW w:w="1450" w:type="dxa"/>
            <w:tcMar>
              <w:top w:w="6" w:type="dxa"/>
              <w:left w:w="17" w:type="dxa"/>
              <w:bottom w:w="6" w:type="dxa"/>
              <w:right w:w="17" w:type="dxa"/>
            </w:tcMar>
            <w:vAlign w:val="center"/>
          </w:tcPr>
          <w:p w14:paraId="1C18EC13">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区卫生健康委</w:t>
            </w:r>
          </w:p>
        </w:tc>
      </w:tr>
      <w:tr w14:paraId="600AD295">
        <w:trPr>
          <w:trHeight w:val="470" w:hRule="atLeast"/>
          <w:jc w:val="center"/>
        </w:trPr>
        <w:tc>
          <w:tcPr>
            <w:tcW w:w="576" w:type="dxa"/>
            <w:noWrap/>
            <w:tcMar>
              <w:top w:w="6" w:type="dxa"/>
              <w:left w:w="17" w:type="dxa"/>
              <w:bottom w:w="6" w:type="dxa"/>
              <w:right w:w="17" w:type="dxa"/>
            </w:tcMar>
            <w:vAlign w:val="center"/>
          </w:tcPr>
          <w:p w14:paraId="7A494958">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31</w:t>
            </w:r>
          </w:p>
        </w:tc>
        <w:tc>
          <w:tcPr>
            <w:tcW w:w="1920" w:type="dxa"/>
            <w:gridSpan w:val="2"/>
            <w:tcMar>
              <w:top w:w="6" w:type="dxa"/>
              <w:left w:w="17" w:type="dxa"/>
              <w:bottom w:w="6" w:type="dxa"/>
              <w:right w:w="17" w:type="dxa"/>
            </w:tcMar>
            <w:vAlign w:val="center"/>
          </w:tcPr>
          <w:p w14:paraId="073CE865">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新增停车位（个）</w:t>
            </w:r>
          </w:p>
        </w:tc>
        <w:tc>
          <w:tcPr>
            <w:tcW w:w="1092" w:type="dxa"/>
            <w:tcMar>
              <w:top w:w="6" w:type="dxa"/>
              <w:left w:w="17" w:type="dxa"/>
              <w:bottom w:w="6" w:type="dxa"/>
              <w:right w:w="17" w:type="dxa"/>
            </w:tcMar>
            <w:vAlign w:val="center"/>
          </w:tcPr>
          <w:p w14:paraId="1C387B60">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w:t>
            </w:r>
          </w:p>
        </w:tc>
        <w:tc>
          <w:tcPr>
            <w:tcW w:w="1086" w:type="dxa"/>
            <w:tcMar>
              <w:top w:w="6" w:type="dxa"/>
              <w:left w:w="17" w:type="dxa"/>
              <w:bottom w:w="6" w:type="dxa"/>
              <w:right w:w="17" w:type="dxa"/>
            </w:tcMar>
            <w:vAlign w:val="center"/>
          </w:tcPr>
          <w:p w14:paraId="386D2657">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5901</w:t>
            </w:r>
          </w:p>
        </w:tc>
        <w:tc>
          <w:tcPr>
            <w:tcW w:w="1181" w:type="dxa"/>
            <w:tcMar>
              <w:top w:w="6" w:type="dxa"/>
              <w:left w:w="17" w:type="dxa"/>
              <w:bottom w:w="6" w:type="dxa"/>
              <w:right w:w="17" w:type="dxa"/>
            </w:tcMar>
            <w:vAlign w:val="center"/>
          </w:tcPr>
          <w:p w14:paraId="1C90DCDF">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5000</w:t>
            </w:r>
          </w:p>
        </w:tc>
        <w:tc>
          <w:tcPr>
            <w:tcW w:w="1270" w:type="dxa"/>
            <w:tcMar>
              <w:top w:w="6" w:type="dxa"/>
              <w:left w:w="17" w:type="dxa"/>
              <w:bottom w:w="6" w:type="dxa"/>
              <w:right w:w="17" w:type="dxa"/>
            </w:tcMar>
            <w:vAlign w:val="center"/>
          </w:tcPr>
          <w:p w14:paraId="76A3BC22">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6579</w:t>
            </w:r>
          </w:p>
        </w:tc>
        <w:tc>
          <w:tcPr>
            <w:tcW w:w="856" w:type="dxa"/>
            <w:tcMar>
              <w:top w:w="6" w:type="dxa"/>
              <w:left w:w="17" w:type="dxa"/>
              <w:bottom w:w="6" w:type="dxa"/>
              <w:right w:w="17" w:type="dxa"/>
            </w:tcMar>
            <w:vAlign w:val="center"/>
          </w:tcPr>
          <w:p w14:paraId="605EE5A4">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5000</w:t>
            </w:r>
          </w:p>
        </w:tc>
        <w:tc>
          <w:tcPr>
            <w:tcW w:w="702" w:type="dxa"/>
            <w:tcMar>
              <w:top w:w="6" w:type="dxa"/>
              <w:left w:w="17" w:type="dxa"/>
              <w:bottom w:w="6" w:type="dxa"/>
              <w:right w:w="17" w:type="dxa"/>
            </w:tcMar>
            <w:vAlign w:val="center"/>
          </w:tcPr>
          <w:p w14:paraId="1F26B4DE">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预期性</w:t>
            </w:r>
          </w:p>
        </w:tc>
        <w:tc>
          <w:tcPr>
            <w:tcW w:w="1450" w:type="dxa"/>
            <w:tcMar>
              <w:top w:w="6" w:type="dxa"/>
              <w:left w:w="17" w:type="dxa"/>
              <w:bottom w:w="6" w:type="dxa"/>
              <w:right w:w="17" w:type="dxa"/>
            </w:tcMar>
            <w:vAlign w:val="center"/>
          </w:tcPr>
          <w:p w14:paraId="039217BD">
            <w:pPr>
              <w:widowControl/>
              <w:adjustRightInd w:val="0"/>
              <w:snapToGrid w:val="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区城市管理委</w:t>
            </w:r>
          </w:p>
        </w:tc>
      </w:tr>
    </w:tbl>
    <w:p w14:paraId="624F57BC">
      <w:pPr>
        <w:rPr>
          <w:rFonts w:hint="eastAsia" w:ascii="黑体" w:hAnsi="黑体" w:eastAsia="黑体" w:cs="方正小标宋简体"/>
          <w:b w:val="0"/>
          <w:bCs w:val="0"/>
          <w:sz w:val="32"/>
          <w:szCs w:val="32"/>
        </w:rPr>
      </w:pPr>
      <w:r>
        <w:rPr>
          <w:rFonts w:hint="eastAsia" w:ascii="黑体" w:hAnsi="黑体" w:eastAsia="黑体" w:cs="方正小标宋简体"/>
          <w:b w:val="0"/>
          <w:bCs w:val="0"/>
          <w:sz w:val="32"/>
          <w:szCs w:val="32"/>
        </w:rPr>
        <w:br w:type="page"/>
      </w:r>
    </w:p>
    <w:p w14:paraId="3180C9A0">
      <w:pPr>
        <w:spacing w:line="560" w:lineRule="exact"/>
        <w:rPr>
          <w:rFonts w:ascii="黑体" w:hAnsi="黑体" w:eastAsia="黑体" w:cs="方正小标宋简体"/>
          <w:b w:val="0"/>
          <w:bCs w:val="0"/>
          <w:sz w:val="32"/>
          <w:szCs w:val="32"/>
        </w:rPr>
      </w:pPr>
      <w:r>
        <w:rPr>
          <w:rFonts w:hint="eastAsia" w:ascii="黑体" w:hAnsi="黑体" w:eastAsia="黑体" w:cs="方正小标宋简体"/>
          <w:b w:val="0"/>
          <w:bCs w:val="0"/>
          <w:sz w:val="32"/>
          <w:szCs w:val="32"/>
        </w:rPr>
        <w:t>附件2</w:t>
      </w:r>
    </w:p>
    <w:p w14:paraId="3D739A05">
      <w:pPr>
        <w:spacing w:line="560" w:lineRule="exact"/>
        <w:rPr>
          <w:rFonts w:ascii="黑体" w:hAnsi="黑体" w:eastAsia="黑体" w:cs="方正小标宋简体"/>
          <w:b w:val="0"/>
          <w:bCs w:val="0"/>
          <w:sz w:val="32"/>
          <w:szCs w:val="32"/>
        </w:rPr>
      </w:pPr>
    </w:p>
    <w:p w14:paraId="5388B463">
      <w:pPr>
        <w:spacing w:line="560" w:lineRule="exact"/>
        <w:jc w:val="center"/>
        <w:rPr>
          <w:rFonts w:ascii="方正小标宋简体" w:hAnsi="方正小标宋简体" w:eastAsia="方正小标宋简体" w:cs="方正小标宋简体"/>
          <w:b w:val="0"/>
          <w:bCs w:val="0"/>
          <w:sz w:val="44"/>
          <w:szCs w:val="44"/>
        </w:rPr>
      </w:pPr>
      <w:r>
        <w:rPr>
          <w:rFonts w:ascii="方正小标宋简体" w:hAnsi="方正小标宋简体" w:eastAsia="方正小标宋简体" w:cs="方正小标宋简体"/>
          <w:b w:val="0"/>
          <w:bCs w:val="0"/>
          <w:sz w:val="44"/>
          <w:szCs w:val="44"/>
        </w:rPr>
        <w:t>2022年国民经济和社会发展计划报告</w:t>
      </w:r>
    </w:p>
    <w:p w14:paraId="5188577A">
      <w:pPr>
        <w:spacing w:line="560" w:lineRule="exact"/>
        <w:jc w:val="center"/>
        <w:rPr>
          <w:rFonts w:ascii="方正小标宋简体" w:hAnsi="方正小标宋简体" w:eastAsia="方正小标宋简体" w:cs="方正小标宋简体"/>
          <w:b w:val="0"/>
          <w:bCs w:val="0"/>
          <w:sz w:val="44"/>
          <w:szCs w:val="44"/>
        </w:rPr>
      </w:pPr>
      <w:r>
        <w:rPr>
          <w:rFonts w:ascii="方正小标宋简体" w:hAnsi="方正小标宋简体" w:eastAsia="方正小标宋简体" w:cs="方正小标宋简体"/>
          <w:b w:val="0"/>
          <w:bCs w:val="0"/>
          <w:sz w:val="44"/>
          <w:szCs w:val="44"/>
        </w:rPr>
        <w:t>重点任务表</w:t>
      </w:r>
    </w:p>
    <w:p w14:paraId="3D8FC275">
      <w:pPr>
        <w:pStyle w:val="3"/>
        <w:ind w:left="0" w:leftChars="0" w:firstLine="0" w:firstLineChars="0"/>
        <w:jc w:val="center"/>
        <w:rPr>
          <w:rFonts w:ascii="方正小标宋简体" w:hAnsi="方正小标宋简体" w:eastAsia="方正小标宋简体" w:cs="方正小标宋简体"/>
          <w:b w:val="0"/>
          <w:bCs w:val="0"/>
          <w:sz w:val="32"/>
          <w:szCs w:val="32"/>
        </w:rPr>
      </w:pPr>
    </w:p>
    <w:tbl>
      <w:tblPr>
        <w:tblStyle w:val="20"/>
        <w:tblW w:w="528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3"/>
        <w:gridCol w:w="6491"/>
        <w:gridCol w:w="2294"/>
      </w:tblGrid>
      <w:tr w14:paraId="4557792B">
        <w:trPr>
          <w:trHeight w:val="641" w:hRule="atLeast"/>
          <w:tblHeader/>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AC24D7">
            <w:pPr>
              <w:keepNext w:val="0"/>
              <w:keepLines w:val="0"/>
              <w:widowControl/>
              <w:suppressLineNumbers w:val="0"/>
              <w:jc w:val="center"/>
              <w:textAlignment w:val="center"/>
              <w:rPr>
                <w:rFonts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序号</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C8DE50">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工作措施</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1A2DEF">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责任单位</w:t>
            </w:r>
          </w:p>
        </w:tc>
      </w:tr>
      <w:tr w14:paraId="68B9ACD5">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10672B9">
            <w:pPr>
              <w:keepNext w:val="0"/>
              <w:keepLines w:val="0"/>
              <w:widowControl/>
              <w:suppressLineNumbers w:val="0"/>
              <w:jc w:val="center"/>
              <w:textAlignment w:val="center"/>
              <w:rPr>
                <w:rFonts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CEAAF6">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服务保障国家实验室建设，支持驻区高校院所、新型研发机构、领军企业深度参与国家实验室在研、预研科研项目，加快形成产业化能力。</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F967C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027EA715">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69C9CD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2</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C0436F">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推动建设世界一流科研机构，加快量子信息、颠覆性材料、开源芯片等关键核心技术攻关突破，提升沿途成果转化能力。支持京津冀国家技术创新中心落地一批前沿重大项目。推进概念验证中心建设。</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6E8D8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3E7B7FD4">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E20EE7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3</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01CB8E">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支持高校院所、企业共建特色研究院、实验室，支持高校探索前孵化创新、概念验证等新模式新平台，提升成果转化能力。</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F1056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21C5573B">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E46B58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4</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F352E5">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推行“揭榜挂帅”“赛马制”等机制，支持多元创新主体开展通用底层技术布局和关键核心技术攻关。</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435AD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68F22BE9">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59AC60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5</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2D3221">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用好自然科学基金，支持科研团队跨学科、跨部门开展前沿研究和应用基础研究，推动一批基础研究成果转化。</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35EA1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1017CE18">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61C351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6</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3F30BE">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扎实推进新一轮先行先试改革落地，项目化、清单化压茬推进各项改革措施，确保有案例、见实效、出经验。</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6C1D5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3C4C8D6A">
        <w:trPr>
          <w:trHeight w:val="213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0CD868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7</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AA30D1">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加快国家级金科新区建设，办好“一会一赛三论坛”主平台活动，以“10+10”对接会为主体畅通科技与金融对接渠道，加大数字人民币场景应用创新和推广力度。推进全球创业投资中心建设，探索通过空间整理、“投资+孵化”、投贷联动等工作模式，聚集一批头部投资机构。</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F9F0C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区金融办</w:t>
            </w:r>
          </w:p>
        </w:tc>
      </w:tr>
      <w:tr w14:paraId="6909C4F2">
        <w:trPr>
          <w:trHeight w:val="1404"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3F8B70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8</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AD9779">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加强科创金融服务创新，深入建设中关村科创金融服务中心等融资平台。用好用足海淀创新基金系，加强对早期项目挖掘培育；推广投、贷、保联动等多种创新模式，强化早期资本、耐心资本力量。</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D2720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区金融办、中关村科学城综合部</w:t>
            </w:r>
          </w:p>
        </w:tc>
      </w:tr>
      <w:tr w14:paraId="289EC8EC">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B7991D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9</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A12794">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深入落实“海英计划”升级版，做好教育、住房、落户、医疗等配套服务，加快引进一批科技帅才、培育一批硬科技人才。</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91D98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73753CA3">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33310F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10</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D5B6BD">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持续推进“薪火共燃”计划，培养一批未来青年企业家。</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74986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5479CA1E">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2B27A3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11</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4779C1">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加快建设翠湖国际人才社区，打造产业园区、智能城区、休闲商区、居住社区等四位一体的人才集聚空间。</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B04DD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621C64A5">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33C131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12</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76E919">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全面推进知识产权强市示范城市建设，持续强化知识产权保护和运用，促进知识产权高质量发展。</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7EBE0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中关村科学城综合部、区市场监管局、区文化和旅游局</w:t>
            </w:r>
          </w:p>
        </w:tc>
      </w:tr>
      <w:tr w14:paraId="7B04B1ED">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30E45A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13</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F65573">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研究出台产业园区提升运营服务能力奖励专项政策，加快构建“物理空间租赁+产业投资孵化+创新产业服务”的园区专业化服务模式。</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4390B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3476C108">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06405D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14</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1E1A91">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落实“三级”服务包制度，实现对专精特新企业、独角兽服务全覆盖，加大对胚芽企业、潜在独角兽企业、上市企业的服务力度。</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8F77C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区发展改革委</w:t>
            </w:r>
          </w:p>
        </w:tc>
      </w:tr>
      <w:tr w14:paraId="786E65B3">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D1EFD2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15</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B4BAD9">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做大做强科技成长基金，充分发挥对领军企业、高成长企业和前沿企业梯度扶持作用。</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589D1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02FF9EB9">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C1D574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16</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3CE7F4">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巩固全国“网络市场监管与服务示范区”创建成果。依托创建全国商业秘密保护创新试点，增强为高新技术企业保驾护航能力。</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029BC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区市场监管局</w:t>
            </w:r>
          </w:p>
        </w:tc>
      </w:tr>
      <w:tr w14:paraId="45AD5849">
        <w:trPr>
          <w:trHeight w:val="1680"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5B2873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17</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1EBBF7">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打造大信息技术产业集群。推进超大规模人工智能模型训练平台、区块链算力平台等新型基础设施建设。聚焦集成电路“卡脖子”环节，推动GPU、车用MCU等产业布局，支持推动RISC-V生态建设。</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DC684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513D812F">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F8E750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18</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4726C2">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抢抓大健康产业爆发契机，重点布局创新药、高端医疗器械和AI+医疗等三大方向，持续推动医疗机器人CDMO平台、蛋白质工程设计平台等产业创新平台建设。</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C2A7E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7E839E5C">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F74E6A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19</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B25076">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做强做大潜力产业，加强与航天领域驻区中央单位对接，谋划落地一批空天产业新增项目和转移转化项目；加快国际氢能中心建设，支持开展氢燃料电池汽车示范应用；推动超高清协同中心开展超高清视频网络化集群制作支撑平台建设。</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BAA2A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438F98C8">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E62D80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20</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25026C">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前瞻布局量子信息、元宇宙、脑科学与脑机接口等未来产业。</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CE4AF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55B770F3">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95D15A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21</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ED5CF4">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积极推动中国电建科技创新产业园、永丰数字先导科技中心等19个项目纳入“3个100”市重点工程。</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5E09E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区发展改革委</w:t>
            </w:r>
          </w:p>
        </w:tc>
      </w:tr>
      <w:tr w14:paraId="135DE657">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91034D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22</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D63740">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适度超前安排一批基础设施项目，集中推动一批重点项目取得实质性进展。</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1B8C4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区发展改革委</w:t>
            </w:r>
          </w:p>
        </w:tc>
      </w:tr>
      <w:tr w14:paraId="14AD8433">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1A7199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23</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CBF4E9">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抓实投资要素保障。“一地一策”做好集中供地，力争完成清河站北-安宁庄综合开发项目、学院路北端（A、B、C、J）地块等20个项目共计99.27公顷土地供应。</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0342E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市规划自然资源委海淀分局</w:t>
            </w:r>
          </w:p>
        </w:tc>
      </w:tr>
      <w:tr w14:paraId="65DE4EE7">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A278FB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24</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D39837">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深化投融资创新，充分用好政府债，推动自贸区科技创新片区（海淀）温泉、西北旺、苏家坨配套设施提升等项目尽快形成实物工作量。</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DB6BC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区财政局、区北部办</w:t>
            </w:r>
          </w:p>
        </w:tc>
      </w:tr>
      <w:tr w14:paraId="457F5875">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81B8CE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25</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84ABB9">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持续推动海悦梧桐苑REITs项目落地，促进保障房、产业园区等资产存量变增量。</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CF75B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区发展改革委</w:t>
            </w:r>
          </w:p>
        </w:tc>
      </w:tr>
      <w:tr w14:paraId="54EA9F8D">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0E9823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26</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67C00A">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持续推进政府投资项目建设，明确时间节点、严控建设标准，更新管理机制，清理历史遗留项目，提高政府投资执行实效。</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16FB1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区发展改革委</w:t>
            </w:r>
          </w:p>
        </w:tc>
      </w:tr>
      <w:tr w14:paraId="081D121D">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2BFA0E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27</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010213">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出台新一轮促消费专项资金支持政策，鼓励时尚消费品牌引进、商圈培育发展、消费模式创新等，全方位带动消费能级提升。</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C6312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区商务局</w:t>
            </w:r>
          </w:p>
        </w:tc>
      </w:tr>
      <w:tr w14:paraId="50D63AD4">
        <w:trPr>
          <w:trHeight w:val="1401"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7C9610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28</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2B826B">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加快重点商圈和传统商场转型升级，编制形成重点商圈高质量发展工作方案，全力打造中关村、五棵松等2个市级城市消费中心以及公主坟、五道口等5个地区活力消费圈，确保西北旺万象汇、西三旗万象汇以及五棵松万达广场开业运营，打造新型体验式综合消费载体。</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57F6C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区商务局</w:t>
            </w:r>
          </w:p>
        </w:tc>
      </w:tr>
      <w:tr w14:paraId="0DFF4424">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E80755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29</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CD90A1">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持续开展北京消费季·悦动海淀系列活动，结合冬季冰雪、户外运动等消费热点，融合文旅体育消费元素，吸引各类首店及时尚零售企业落地，促进区域消费市场活跃发展。</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BBF83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区商务局</w:t>
            </w:r>
          </w:p>
        </w:tc>
      </w:tr>
      <w:tr w14:paraId="05B03340">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2CF9A1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30</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88AF65">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进一步优化便民商业网点空间布局，建设不少于5个业态丰富、智慧便捷的“一刻钟便民生活圈”。</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DD7DD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区商务局</w:t>
            </w:r>
          </w:p>
        </w:tc>
      </w:tr>
      <w:tr w14:paraId="019B0A89">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37ECE7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31</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1E0026">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完善外资外贸企业服务机制，持续优化外资外贸结构，推动更高水平对外开放。</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7141E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区商务局</w:t>
            </w:r>
          </w:p>
        </w:tc>
      </w:tr>
      <w:tr w14:paraId="198615FC">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78A10A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32</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7FF933">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发挥外贸转型升级基地示范带动效应，以机电设备、集成电路、医疗器械等领域为重点，助力企业开拓多元市场。</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E04AB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区商务局</w:t>
            </w:r>
          </w:p>
        </w:tc>
      </w:tr>
      <w:tr w14:paraId="0306051E">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A1CFBA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33</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E2E42F">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鼓励创新主体开展离岸创新，搭建国际合作平台，支持科技企业开展跨境合作。</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E9B18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3F55B51D">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F722CE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34</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4A47DB">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链接全球创新资源，开展“环球商机”“外交官走进中关村科学城”及其他国际合作对接交流活动。</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1D730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6578A44C">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7B3F0A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35</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1F8FAD">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用足用好中央、市级稳增长政策，畅通政策落地“最后一公里”；做好对重点行业和中小微企业助企纾困的区级政策储备，适时调整优化帮扶政策，力促经济增长稳步恢复。</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8DA7F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区发展改革委</w:t>
            </w:r>
          </w:p>
        </w:tc>
      </w:tr>
      <w:tr w14:paraId="6C768830">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5DB2D9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36</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1F2C10">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促进平台企业规范健康持续发展，进一步完善与平台经济发展相适应的制度环境和监管模式，加快推动一批“绿灯”投资案例落地实施，支持平台企业拓展数字零售、社交电商、在线健身、云旅游等数字经济新模式。</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593D6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区市场监管局、中关村科学城综合部</w:t>
            </w:r>
          </w:p>
        </w:tc>
      </w:tr>
      <w:tr w14:paraId="7B9CD91C">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59C6C5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37</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B4B631">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做好规划编制与实施的统筹衔接。推进已编制的12个街区控规取得市政府批复；启动9个街区控规编制。</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DC713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市规划自然资源委海淀分局、区北部办</w:t>
            </w:r>
          </w:p>
        </w:tc>
      </w:tr>
      <w:tr w14:paraId="2BB0F066">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51DDCE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38</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6A515D">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加快北部土地供应。推进翠湖新增G等地块入市，加速翠湖新增A1、E6地块协议出让。</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43CE7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市规划自然资源委海淀分局、区北部办</w:t>
            </w:r>
          </w:p>
        </w:tc>
      </w:tr>
      <w:tr w14:paraId="6679EE73">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92AFD2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39</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B7B5B9">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加大产业空间供给，重点推进西北旺X2地块、温泉科技园二期、北京协同创新园等项目建设提速。</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FC16C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区北部办</w:t>
            </w:r>
          </w:p>
        </w:tc>
      </w:tr>
      <w:tr w14:paraId="162A8DC3">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530B95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40</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49FA92">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进一步完善基础设施。加快推进上庄路北段、北清路快速化改造（海淀段）施工建设。</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2570B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区北部办、区住房城乡建设委、海融达公司</w:t>
            </w:r>
          </w:p>
        </w:tc>
      </w:tr>
      <w:tr w14:paraId="26CCBC59">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DA560D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41</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764272">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启动上庄再生水厂（二期）建设，推进冷泉北沟一期、二期项目建设，力争“稻香湖再生水厂二期”实现通水。</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046DC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区北部办、区水务局</w:t>
            </w:r>
          </w:p>
        </w:tc>
      </w:tr>
      <w:tr w14:paraId="72B2A1A1">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3F8E90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42</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7D1A74">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提速农村城市化进程。启动韩家川、后沙涧等5个村庄及管家岭自然村腾退，推动上庄镇东小营集租房开工，加快温泉F、C地块安置房等在施项目建设，开展凤仪佳苑、水岸家园等建成入住安置房产权登记。</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980FE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区北部办</w:t>
            </w:r>
          </w:p>
        </w:tc>
      </w:tr>
      <w:tr w14:paraId="782ABA35">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35CE8E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43</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417182">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严格落实三山五园地区整体保护规划，启动骚子营、大有庄地区搬迁腾退，推进挂甲屯（三期）腾退改造，力争功德寺安置房达到交付条件。</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68D35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区政府办（三山五园办）、区住房城乡建设委、海淀镇</w:t>
            </w:r>
          </w:p>
        </w:tc>
      </w:tr>
      <w:tr w14:paraId="4B7E0049">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101FB0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44</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10F778">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完成京张铁路遗址公园（一期）、</w:t>
            </w:r>
            <w:r>
              <w:rPr>
                <w:rStyle w:val="52"/>
                <w:rFonts w:hAnsi="宋体"/>
                <w:b w:val="0"/>
                <w:bCs w:val="0"/>
                <w:lang w:val="en-US" w:eastAsia="zh-CN" w:bidi="ar"/>
              </w:rPr>
              <w:t>清河树村段滨水景观</w:t>
            </w:r>
            <w:r>
              <w:rPr>
                <w:rFonts w:hint="eastAsia" w:ascii="仿宋_GB2312" w:hAnsi="宋体" w:eastAsia="仿宋_GB2312" w:cs="仿宋_GB2312"/>
                <w:b w:val="0"/>
                <w:bCs w:val="0"/>
                <w:i w:val="0"/>
                <w:iCs w:val="0"/>
                <w:color w:val="000000"/>
                <w:kern w:val="0"/>
                <w:sz w:val="22"/>
                <w:szCs w:val="22"/>
                <w:u w:val="none"/>
                <w:lang w:val="en-US" w:eastAsia="zh-CN" w:bidi="ar"/>
              </w:rPr>
              <w:t>提升项目建设。</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4AD8D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区园林绿化局、区</w:t>
            </w:r>
            <w:r>
              <w:rPr>
                <w:rStyle w:val="52"/>
                <w:rFonts w:hAnsi="宋体"/>
                <w:b w:val="0"/>
                <w:bCs w:val="0"/>
                <w:lang w:val="en-US" w:eastAsia="zh-CN" w:bidi="ar"/>
              </w:rPr>
              <w:t>水务局</w:t>
            </w:r>
          </w:p>
        </w:tc>
      </w:tr>
      <w:tr w14:paraId="09524BA1">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CB4970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45</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A76A94">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实施育新花园、玉海园等55个老旧小区、215栋楼、160.9万平方米改造工程，新启动约70个小区、160万平方米改造工程。</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89C01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区住房城乡建设委、区房管局</w:t>
            </w:r>
          </w:p>
        </w:tc>
      </w:tr>
      <w:tr w14:paraId="044A9F51">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465654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46</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63EFDD">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推进首体学院平房、中关村东区等5个危旧楼、简易楼改造项目。</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72ED6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区住房城乡建设委</w:t>
            </w:r>
          </w:p>
        </w:tc>
      </w:tr>
      <w:tr w14:paraId="47F6AA3F">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FD0853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47</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CAA360">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加快推进金隅智药园、鼎好B座等产业类城市更新项目，促进存量产业空间焕发生机。</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24868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区住房城乡建设委、中关村科学城综合部</w:t>
            </w:r>
          </w:p>
        </w:tc>
      </w:tr>
      <w:tr w14:paraId="549C8CDD">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ECA2CF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48</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FFEC6F">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推进朱房及清河四街周边改造、五塔寺等4个区域综合性城市更新项目。</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5E879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区住房城乡建设委、市规划自然资源委海淀分局</w:t>
            </w:r>
          </w:p>
        </w:tc>
      </w:tr>
      <w:tr w14:paraId="491F1383">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110EB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49</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CBEC52">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color w:val="000000"/>
                <w:sz w:val="22"/>
                <w:szCs w:val="22"/>
                <w:u w:val="none"/>
              </w:rPr>
              <w:t>全面推进科学城南区村庄搬迁腾退，完成10个村庄搬迁腾退。</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CC14A6">
            <w:pPr>
              <w:keepNext w:val="0"/>
              <w:keepLines w:val="0"/>
              <w:widowControl/>
              <w:suppressLineNumbers w:val="0"/>
              <w:jc w:val="center"/>
              <w:textAlignment w:val="center"/>
              <w:rPr>
                <w:rFonts w:hint="default" w:ascii="仿宋_GB2312" w:hAnsi="宋体" w:eastAsia="仿宋_GB2312" w:cs="仿宋_GB2312"/>
                <w:b w:val="0"/>
                <w:bCs w:val="0"/>
                <w:i w:val="0"/>
                <w:iCs w:val="0"/>
                <w:color w:val="000000"/>
                <w:sz w:val="22"/>
                <w:szCs w:val="22"/>
                <w:u w:val="none"/>
                <w:lang w:val="en-US" w:eastAsia="zh-CN"/>
              </w:rPr>
            </w:pPr>
            <w:r>
              <w:rPr>
                <w:rFonts w:hint="eastAsia" w:ascii="仿宋_GB2312" w:hAnsi="宋体" w:eastAsia="仿宋_GB2312" w:cs="仿宋_GB2312"/>
                <w:b w:val="0"/>
                <w:bCs w:val="0"/>
                <w:i w:val="0"/>
                <w:iCs w:val="0"/>
                <w:color w:val="000000"/>
                <w:sz w:val="22"/>
                <w:szCs w:val="22"/>
                <w:u w:val="none"/>
                <w:lang w:val="en-US" w:eastAsia="zh-CN"/>
              </w:rPr>
              <w:t>四季青镇、东升镇、海淀镇</w:t>
            </w:r>
          </w:p>
        </w:tc>
      </w:tr>
      <w:tr w14:paraId="6355F4AF">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AFBCAC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50</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43DFD5">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开展23条主、次干路通信架空线入地和部分背街小巷通信架空线梳理整治，力争当年通信架空线入地管道建设开工率达40％以上。</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B40CA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区城市管理委</w:t>
            </w:r>
          </w:p>
        </w:tc>
      </w:tr>
      <w:tr w14:paraId="01E01940">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A3AADA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51</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F596FC">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加快推进地铁13号线A、B段建设，力争12号线建成通车。</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57386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区住房城乡建设委</w:t>
            </w:r>
          </w:p>
        </w:tc>
      </w:tr>
      <w:tr w14:paraId="10E14936">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2BA139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52</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DDEB88">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推进王庄路、田村东路等12条代建道路移交接养。</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4C592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区城市管理委、区住房城乡建设委</w:t>
            </w:r>
          </w:p>
        </w:tc>
      </w:tr>
      <w:tr w14:paraId="067FC12F">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40CBFB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53</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E00B5C">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推进1.48公顷代征道路用地移交。</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A6E00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市规划自然资源委海淀分局、区城市管理委</w:t>
            </w:r>
          </w:p>
        </w:tc>
      </w:tr>
      <w:tr w14:paraId="1416CF3D">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87CB53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54</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3C84E9">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加快推进上庄家园周边、八家东西线等道路开工建设，实现新增道路通车里程8公里。</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EA1CF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区住房城乡建设委</w:t>
            </w:r>
          </w:p>
        </w:tc>
      </w:tr>
      <w:tr w14:paraId="6D264E5F">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14BA45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55</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F41164">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打通上庄东路与玉河路路口、上庄东路与大牛坊一环路路口等断头路；开展志新西路、翠微路北段、大慧寺路等40万平方米区属道路大中修。</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9D577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区城市管理委</w:t>
            </w:r>
          </w:p>
        </w:tc>
      </w:tr>
      <w:tr w14:paraId="0958AD70">
        <w:trPr>
          <w:trHeight w:val="1452"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85C081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56</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D6257A">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完成5条无灯道路路灯补建任务。</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A1D96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区城市管理委</w:t>
            </w:r>
          </w:p>
        </w:tc>
      </w:tr>
      <w:tr w14:paraId="28374EC7">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0EA951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57</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1DF27C">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推进潘庄、北大西门两个重点区域和“学医景商”周边交通综合治理，实施不少于15处交通组织优化工程。</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38EEB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海淀交通支队、区教委、区卫生健康委、区文化和旅游局、区商务局</w:t>
            </w:r>
          </w:p>
        </w:tc>
      </w:tr>
      <w:tr w14:paraId="636EF651">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44F368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58</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FF8673">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稳步推进新改扩建道路安装交通科技设施工程，规范共享单车管理，加大慢行系统建设和治理力度，构建绿色安全智慧的交通出行体系。</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10C54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区城市管理委</w:t>
            </w:r>
          </w:p>
        </w:tc>
      </w:tr>
      <w:tr w14:paraId="59313F83">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FE0351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59</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EC05AA">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推动街镇新增建设错时共享停车场，挖潜新增停车位5000个。</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C1B49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区城市管理委</w:t>
            </w:r>
          </w:p>
        </w:tc>
      </w:tr>
      <w:tr w14:paraId="216F11A0">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A7B212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60</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7BDDFC">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聚焦清河之源、学院南路周边、西三旗重点大街沿线等重点区域，打造彰显城市品质的片区综合治理亮点工程。</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C8509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区发展改革委、区水务局、区园林绿化局、北太平庄街道、北下关街道、西三旗街道</w:t>
            </w:r>
          </w:p>
        </w:tc>
      </w:tr>
      <w:tr w14:paraId="66AF7E02">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E47794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61</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2D5A7B">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开展50处桥下空间整治工作。</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00273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区城市管理委</w:t>
            </w:r>
          </w:p>
        </w:tc>
      </w:tr>
      <w:tr w14:paraId="422B3989">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41686D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62</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07D05A">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继续推动非首都功能疏解，加快西门子、纵横机电等5家企业绿色化发展、数字化转型和智能化提升。</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F9215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352DFF38">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089013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63</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0C0E23">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巩固“基本无违法建设区”创建成果，实现新生违法建设“零增长”，完成既定拆除违法建设和土地腾退任务。</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BE584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区城管执法局、市规划自然资源委海淀分局</w:t>
            </w:r>
          </w:p>
        </w:tc>
      </w:tr>
      <w:tr w14:paraId="0FC22ECE">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008F76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64</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5DC029">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全年完成131处围挡治理。</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E05C0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区住房城乡建设委</w:t>
            </w:r>
          </w:p>
        </w:tc>
      </w:tr>
      <w:tr w14:paraId="3E2E589C">
        <w:trPr>
          <w:trHeight w:val="2280"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2DA14C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65</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B4DCC0">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加快推动一绿地区全面城市化，完成城乡建设用地减量8公顷，实现一绿地区绿化12公顷。</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88C83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市规划自然资源委海淀分局、区发展改革委、区园林绿化局</w:t>
            </w:r>
          </w:p>
        </w:tc>
      </w:tr>
      <w:tr w14:paraId="29DC3499">
        <w:trPr>
          <w:trHeight w:val="700"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25BE2B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66</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925BEE">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抓好城乡结合部地区重点村社会治安、消防安全、出租房屋及人员密集场所、环境卫生等综合整治。</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30152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公安海淀分局、区农业农村局、区房管局、海淀消防救援支队、区市场监管局、区城管执法局、区应急管理局、市规划自然资源委海淀分局、区城市管理委、区水务局、区园林绿化局，相关街镇</w:t>
            </w:r>
          </w:p>
        </w:tc>
      </w:tr>
      <w:tr w14:paraId="3D05F26E">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5759D1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67</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7E57FE">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在保留村范围内试点推广房屋组织化经营和物业社会化管理。</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1A145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区房管局、区农业农村局</w:t>
            </w:r>
          </w:p>
        </w:tc>
      </w:tr>
      <w:tr w14:paraId="624AACFA">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D8017E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68</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6C5377">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有序推进绿色低碳节能发展，碳排放总量得到有效控制，碳排放强度、单位地区生产总值能耗降幅达到市级考核要求。</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51A34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区发展改革委、区生态环境局</w:t>
            </w:r>
          </w:p>
        </w:tc>
      </w:tr>
      <w:tr w14:paraId="442441E3">
        <w:trPr>
          <w:trHeight w:val="123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0D73D5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69</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34E641">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持续深化“一微克”行动，坚持PM2.5和臭氧协同控制，加强氮氧化物、挥发性有机物、扬尘等重点领域治理。</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25022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区生态环境局</w:t>
            </w:r>
          </w:p>
        </w:tc>
      </w:tr>
      <w:tr w14:paraId="0ADC330A">
        <w:trPr>
          <w:trHeight w:val="123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8D3305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70</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58F6CE">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继续推进“水清岸绿计划”，统筹布局和推进周家巷沟（创新园段）、上庄片区补水及循环工程、玉河雨水湿地公园等一批重点项目。全面消除黑臭水体，实现地下水水质总体稳定、地表水质持续改善、集中式饮用水水源地水质稳定达标。</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48417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区水务局、区生态环境局</w:t>
            </w:r>
          </w:p>
        </w:tc>
      </w:tr>
      <w:tr w14:paraId="3A0BE69B">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A35B7F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71</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26AA38">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实施14个小区海绵城市改造工程。</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06A81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区水务局</w:t>
            </w:r>
          </w:p>
        </w:tc>
      </w:tr>
      <w:tr w14:paraId="2EFF74E9">
        <w:trPr>
          <w:trHeight w:val="740"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E8A59A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72</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C3B7AA">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强化“两线三区”全域管控、“三线一单”分区管控，坚守1.5万亩耕地保护空间。</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6CD1C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市规划自然资源委海淀分局</w:t>
            </w:r>
          </w:p>
        </w:tc>
      </w:tr>
      <w:tr w14:paraId="4DBCCD7E">
        <w:trPr>
          <w:trHeight w:val="1500"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6965A2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73</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B8868B">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确保土壤污染风险得到有效管控、受污染耕地及重点建设用地安全利用。</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62CBA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区生态环境局、市规划自然资源委海淀分局、区农业农村局</w:t>
            </w:r>
          </w:p>
        </w:tc>
      </w:tr>
      <w:tr w14:paraId="01B91A12">
        <w:trPr>
          <w:trHeight w:val="1220"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B8212E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74</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46DF04">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高水平打造城市绿色基底。实施上地等重点区域绿廊贯通，打通绿地断点；开展西钓鱼台代征绿地等7处城区公园和永靓家园南侧等12处小微绿地建设；实施中央党校西侧、三山五园艺术中心周边等6处“三山五园”重点区域绿化建设。新增绿化面积60公顷。</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B0CCB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区园林绿化局</w:t>
            </w:r>
          </w:p>
        </w:tc>
      </w:tr>
      <w:tr w14:paraId="3B7A0864">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38F9AF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75</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11CFCE">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深入开展生物多样性保护，强化湿地资源监管。</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DB0E6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区生态环境局、区园林绿化局、区农业农村局</w:t>
            </w:r>
          </w:p>
        </w:tc>
      </w:tr>
      <w:tr w14:paraId="0B0CDE8C">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21C312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76</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5FFF25">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全面实施“林长制”。建设国家森林城市。</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0E80E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区园林绿化局</w:t>
            </w:r>
          </w:p>
        </w:tc>
      </w:tr>
      <w:tr w14:paraId="3975D7FC">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27009E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77</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720A85">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抓好“两区”建设2.0方案和海淀组团发展三年行动方案落地，力争实现突破一批政策、建成一批场景、落地一批项目。聚焦核心要素和重点产业，持续开展调研和“自贸会客厅”主题活动，打通政策堵点和应用场景。</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0563A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区商务局</w:t>
            </w:r>
          </w:p>
        </w:tc>
      </w:tr>
      <w:tr w14:paraId="466C6F26">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010288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78</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7DC1A3">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加快建设以研发创新为特色的中关村综保区，探索自贸试验区与海关特殊监管区域的联动创新。</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C9ABF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区商务局</w:t>
            </w:r>
          </w:p>
        </w:tc>
      </w:tr>
      <w:tr w14:paraId="48EE628C">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50FDF7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79</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D3C052">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加快组建海淀“两区”建设和中关村综合保税区运营公司，完善市场化运作机制，推进“两区”建设提质提效。</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9A6F1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区商务局</w:t>
            </w:r>
          </w:p>
        </w:tc>
      </w:tr>
      <w:tr w14:paraId="350265F8">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E80780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80</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57D4AB">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建成投用中关村论坛永久会址，高水平筹办2023中关村论坛，打造具有全球影响力的功能性平台。</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CA8BC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区住房城乡建设委、中关村科学城综合部</w:t>
            </w:r>
          </w:p>
        </w:tc>
      </w:tr>
      <w:tr w14:paraId="35C9C5CB">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D0D6EA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81</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A08998">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引导科技服务平台与未来科学城、怀柔科学城、顺义区等，开展科技成果转化、楼宇招商运营、服务平台搭建等合作。</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12125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16E1A0DD">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3AC09C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82</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9C8AA1">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推荐元宇宙、数字经济等领域企业参与城市副中心应用场景建设。</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44590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w:t>
            </w:r>
          </w:p>
        </w:tc>
      </w:tr>
      <w:tr w14:paraId="543611C9">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0627E8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83</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155AEA">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加强与首钢地区、延庆、平谷等地人才交流和产业协作。支持利亚德、东华软件等行业龙头企业与雄安新区深度对接。引导大北农、九州生物等农业科技企业在环首都经济圈产业布局。</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6858D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中关村科学城综合部、区发展改革委</w:t>
            </w:r>
          </w:p>
        </w:tc>
      </w:tr>
      <w:tr w14:paraId="61C79967">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7A9D73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84</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BD0CDE">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引导区内优质教育医疗资源向外辐射输出。</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00965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区发展改革委、区教委、区卫生健康委</w:t>
            </w:r>
          </w:p>
        </w:tc>
      </w:tr>
      <w:tr w14:paraId="0704C24F">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49D950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85</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0EED99">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巩固扶贫攻坚成果，对内蒙古赤峰市科右前旗等6个结对地区持续开展人才支援、产业合作、消费帮扶、劳务协作，确保力度不减、标准不降。</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B4561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区发展改革委</w:t>
            </w:r>
          </w:p>
        </w:tc>
      </w:tr>
      <w:tr w14:paraId="6722329A">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483ED0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86</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52F3CA">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推动市区数据共治共享对接，推进实现政务服务数据和社会数据有机融合；探索拓展政务服务领域“长安链”应用；增加个人和企业高频事项跨省通办数量。</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43A04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区政务服务局</w:t>
            </w:r>
          </w:p>
        </w:tc>
      </w:tr>
      <w:tr w14:paraId="21A6A448">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74B5EF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87</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61ACEA">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深化自贸区“确认制”登记改革，全面落实“多证合一”，提升企业开办“一网通办”服务效能。</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99079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区市场监管局</w:t>
            </w:r>
          </w:p>
        </w:tc>
      </w:tr>
      <w:tr w14:paraId="5FD6CAD0">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D04096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88</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D1A1CD">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加强电子证照在网上办事和线下政务服务中的应用，精简线下窗口办事材料。</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36153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区政务服务局</w:t>
            </w:r>
          </w:p>
        </w:tc>
      </w:tr>
      <w:tr w14:paraId="64B86F8A">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06EFE9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89</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D3A28E">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着力构建企业“全链条全生命周期”服务体系，畅通涉企政策制定充分征求企业家意见渠道，夯实“服务包”工作机制，增强企业驻区发展粘性。</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94EDC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区发展改革委、各行业主管部门</w:t>
            </w:r>
          </w:p>
        </w:tc>
      </w:tr>
      <w:tr w14:paraId="0A98D97A">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40BD1B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90</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629AF1">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建设企业上市发展基地，助力15家左右企业上市融资。</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308B3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区金融办</w:t>
            </w:r>
          </w:p>
        </w:tc>
      </w:tr>
      <w:tr w14:paraId="7BBE0337">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F8FEBB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91</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83446E">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做好第五次全国经济普查。</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3FC5E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区统计局</w:t>
            </w:r>
          </w:p>
        </w:tc>
      </w:tr>
      <w:tr w14:paraId="18933F99">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908A99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92</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50C3E8">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开展“十四五”规划中期评估。</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5502F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区发展改革委</w:t>
            </w:r>
          </w:p>
        </w:tc>
      </w:tr>
      <w:tr w14:paraId="62641A6B">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281AE1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93</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F878F5">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深化国资国企改革，做强做优一级开发平台、产业空间平台、股权投资平台和城市服务平台，切实提升企业盈利能力和资产质量。健全中国特色现代企业制度，深化董事会建设，提升国有企业核心竞争力和服务区域发展能力。</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B8CF6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区国资委</w:t>
            </w:r>
          </w:p>
        </w:tc>
      </w:tr>
      <w:tr w14:paraId="54F2ED02">
        <w:trPr>
          <w:trHeight w:val="1380"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F479BF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94</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759850">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推进国有金融资本管理改革，落实好财政履行金融资本出资人职责重大改革，持续优化国有金融资本战略布局。</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5179A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区财政局</w:t>
            </w:r>
          </w:p>
        </w:tc>
      </w:tr>
      <w:tr w14:paraId="08DCE287">
        <w:trPr>
          <w:trHeight w:val="1380"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0AB58B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95</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A9D5E0">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持续巩固提升农村集体产权制度改革，研究推动深化镇级产权制度改革，加强股份社登记管理。</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29C24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区农经站</w:t>
            </w:r>
          </w:p>
        </w:tc>
      </w:tr>
      <w:tr w14:paraId="62F37B33">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E181CF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96</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A3595F">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研判疫情形势变化，持续优化防控措施，强化医疗资源储备供应，不断提升突发公共卫生事件应急能力。</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9780F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区卫生健康委</w:t>
            </w:r>
          </w:p>
        </w:tc>
      </w:tr>
      <w:tr w14:paraId="46239C32">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47B9A3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97</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9D98DD">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启动海淀妇幼保健院旧址改造和蓟门里社区医院建设；加快推进金隅科技园配套医院和海淀区中医医院建设项目。</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0361E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区卫生健康委</w:t>
            </w:r>
          </w:p>
        </w:tc>
      </w:tr>
      <w:tr w14:paraId="0A0CBE5F">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C7A084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98</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644AFB">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新增不少于10家医保定点零售药店。</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CB098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区医疗保障局</w:t>
            </w:r>
          </w:p>
        </w:tc>
      </w:tr>
      <w:tr w14:paraId="36F81559">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E8D8A0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99</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856B30">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优化分级诊疗服务，提升家庭医生签约服务的针对性，系统加强重点人群健康服务保障，提高百姓的获得感和满意率。</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9EA56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区卫生健康委</w:t>
            </w:r>
          </w:p>
        </w:tc>
      </w:tr>
      <w:tr w14:paraId="6094C5CA">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CC0AC0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100</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9638C2">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大力推动互联网医院建设，拓展北京世纪坛医院、航天中心医院开展“互联网+护理服务”试点工作。</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4E4FF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区卫生健康委</w:t>
            </w:r>
          </w:p>
        </w:tc>
      </w:tr>
      <w:tr w14:paraId="4FE35D83">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3F0819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101</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5579B1">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完善全民健身服务体系，建设不少于7片专项活动场地、更新不少于80套全民健身路径，打造10分钟健身圈。</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20503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区体育局</w:t>
            </w:r>
          </w:p>
        </w:tc>
      </w:tr>
      <w:tr w14:paraId="5346E1D5">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6E6BC9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102</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279B6A">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促进教育优质发展，全年增加普惠性学前学位1000个、中小学学位5560个，开展教师交流轮岗跟踪调研工作。</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E914F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区教委</w:t>
            </w:r>
          </w:p>
        </w:tc>
      </w:tr>
      <w:tr w14:paraId="5FE30961">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5D1530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103</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D28D58">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落实三孩生育养育配套支持政策。</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C7AD2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区卫生健康委</w:t>
            </w:r>
          </w:p>
        </w:tc>
      </w:tr>
      <w:tr w14:paraId="25750F6C">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5E97C9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104</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AB7490">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完成儿童福利院建设并投入运营，建设街镇级未成年人保护工作站试点。</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22884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区民政局</w:t>
            </w:r>
          </w:p>
        </w:tc>
      </w:tr>
      <w:tr w14:paraId="67C545E5">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9757F3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105</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2AC86E">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积极打造“一刻钟养老服务圈”，新增社区养老服务驿站10家、养老助餐点58家，为新增90周岁以上高龄老年人家庭进行适老化改造。</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C1C73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区民政局</w:t>
            </w:r>
          </w:p>
        </w:tc>
      </w:tr>
      <w:tr w14:paraId="29B7B137">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889432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106</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56A446">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持续推进“智慧养老”示范区建设，基本建成智慧养老综合管理服务平台。</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850F4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区民政局</w:t>
            </w:r>
          </w:p>
        </w:tc>
      </w:tr>
      <w:tr w14:paraId="74E848D9">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6EE27A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107</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349172">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把稳就业摆在更加突出位置，提供更加充分的公共就业服务，实施更加积极的就业创业政策，帮助1.5万名城乡劳动力实现就业，提升重点群体就业质量。</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CE1C8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区人力社保局</w:t>
            </w:r>
          </w:p>
        </w:tc>
      </w:tr>
      <w:tr w14:paraId="45F18D35">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40EE23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108</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BD5822">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持续加大政策性住房保障力度。全年开工保障性住房8000套、竣工6100套。</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17D23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区住房城乡建设委</w:t>
            </w:r>
          </w:p>
        </w:tc>
      </w:tr>
      <w:tr w14:paraId="7CA4DD65">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69E47E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109</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59A01D">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强化公租房备案家庭配租力度，提升重点人群公租房保障率、公租房备案家庭总体保障率。</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DA7BA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区房管局</w:t>
            </w:r>
          </w:p>
        </w:tc>
      </w:tr>
      <w:tr w14:paraId="0A2CE201">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AD5F02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110</w:t>
            </w:r>
          </w:p>
        </w:tc>
        <w:tc>
          <w:tcPr>
            <w:tcW w:w="3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90329B">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落实社会救助标准动态调整机制，稳步提升困难群众保障水平。积极发展服务类社会救助，持续推进精准救助帮扶。</w:t>
            </w:r>
          </w:p>
        </w:tc>
        <w:tc>
          <w:tcPr>
            <w:tcW w:w="11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A3906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区民政局、全区各街镇</w:t>
            </w:r>
          </w:p>
        </w:tc>
      </w:tr>
      <w:tr w14:paraId="1E039599">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397C0A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111</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A27953">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健全多层次医疗保障体系。完善城镇职工门诊共济保障机制，加强个人账户定向使用管理。做好北京普惠健康保推广扩面工作，推动医保与商保有效衔接。</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4E482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区医疗保障局</w:t>
            </w:r>
          </w:p>
        </w:tc>
      </w:tr>
      <w:tr w14:paraId="080EA671">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8EA0A3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112</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9285E7">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推进清华园车站修缮、展示工程，打通“进京赶考之路”红色路径。</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763C3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区文化和旅游局</w:t>
            </w:r>
          </w:p>
        </w:tc>
      </w:tr>
      <w:tr w14:paraId="2E1DFBAA">
        <w:trPr>
          <w:trHeight w:val="1200"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A6BAB2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113</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959923">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三山五园艺术中心、圆明园博物馆建成投用，推进三山五园文创产品、高沉浸式体验项目等品牌运营。</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B306F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区文化和旅游局、圆明园管理处</w:t>
            </w:r>
          </w:p>
        </w:tc>
      </w:tr>
      <w:tr w14:paraId="15763A2F">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9A64EB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114</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24CD7C">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以国家公共文化服务体系示范区复检为抓手健全现代公共文化服务体系。继续实施中关村国际青年艺术季、海淀文化季等文化惠民工程。支持一批基层公共文化设施提档升级。</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DF47A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区文化和旅游局</w:t>
            </w:r>
          </w:p>
        </w:tc>
      </w:tr>
      <w:tr w14:paraId="706AC945">
        <w:trPr>
          <w:trHeight w:val="999"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BB48F0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115</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5ECF11">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持续扩大公共文化产品供给，提供450场高品质文艺演出，惠及群众400万人次。</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F654A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区文化和旅游局</w:t>
            </w:r>
          </w:p>
        </w:tc>
      </w:tr>
      <w:tr w14:paraId="0BB04669">
        <w:trPr>
          <w:trHeight w:val="1200"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092698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116</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E6D632">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建成不可移动文物智能保护系统并投入使用，为三山五园国家文物保护利用示范区考核提供场景式验收。</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C2725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区文化和旅游局</w:t>
            </w:r>
          </w:p>
        </w:tc>
      </w:tr>
      <w:tr w14:paraId="6535C85D">
        <w:trPr>
          <w:trHeight w:val="1240"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67AF99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117</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E7F073">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继续完善“接诉即办”工作机制。严格精准派单制度，逐步实施“吹哨报到”双考核机制和区属国企双考核。继续落实好“每月一题”专项治理，集中解决一批群众急难愁盼和疑难复杂的重点民生诉求。</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F172F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区城管指挥中心</w:t>
            </w:r>
          </w:p>
        </w:tc>
      </w:tr>
      <w:tr w14:paraId="638650AA">
        <w:trPr>
          <w:trHeight w:val="1260"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381CA0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118</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2E8ABB">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持续推进基层社会治理。做实做强网格（小区）党支部、楼门院党小组等社区党的组织，推动社区治理向楼门院延伸。规范市级议事厅和楼门院示范点、村级自治组织建设。</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66984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区民政局</w:t>
            </w:r>
          </w:p>
        </w:tc>
      </w:tr>
      <w:tr w14:paraId="6A6CDE00">
        <w:trPr>
          <w:trHeight w:val="980"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F4812C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119</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EA0E59">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扩大“社区伙伴计划”示范引领效应，完善住宅物业项目监督考核评价及奖惩机制，对1178个物业管理区域开展综合考评。</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25DD6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区房管局</w:t>
            </w:r>
          </w:p>
        </w:tc>
      </w:tr>
      <w:tr w14:paraId="6A820C7C">
        <w:trPr>
          <w:trHeight w:val="720"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477869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120</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7E8877">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持续开展市级生活垃圾分类示范小区、村创建工作，加快再生资源回收点、中转站、分拣中心等终端设施建设。</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4A817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区城市管理委</w:t>
            </w:r>
          </w:p>
        </w:tc>
      </w:tr>
      <w:tr w14:paraId="2169660A">
        <w:trPr>
          <w:trHeight w:val="537" w:hRule="atLeast"/>
          <w:jc w:val="center"/>
        </w:trPr>
        <w:tc>
          <w:tcPr>
            <w:tcW w:w="41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2864094">
            <w:pPr>
              <w:keepNext w:val="0"/>
              <w:keepLines w:val="0"/>
              <w:widowControl/>
              <w:suppressLineNumbers w:val="0"/>
              <w:jc w:val="center"/>
              <w:textAlignment w:val="center"/>
              <w:rPr>
                <w:rFonts w:hint="default" w:ascii="仿宋_GB2312" w:hAnsi="宋体" w:eastAsia="仿宋_GB2312" w:cs="仿宋_GB2312"/>
                <w:b w:val="0"/>
                <w:bCs w:val="0"/>
                <w:i w:val="0"/>
                <w:iCs w:val="0"/>
                <w:color w:val="000000"/>
                <w:kern w:val="0"/>
                <w:sz w:val="22"/>
                <w:szCs w:val="22"/>
                <w:u w:val="none"/>
                <w:lang w:val="en-US" w:eastAsia="zh-CN" w:bidi="ar"/>
              </w:rPr>
            </w:pPr>
            <w:r>
              <w:rPr>
                <w:rFonts w:hint="eastAsia" w:ascii="仿宋_GB2312" w:hAnsi="宋体" w:eastAsia="仿宋_GB2312" w:cs="仿宋_GB2312"/>
                <w:b w:val="0"/>
                <w:bCs w:val="0"/>
                <w:i w:val="0"/>
                <w:iCs w:val="0"/>
                <w:color w:val="000000"/>
                <w:kern w:val="0"/>
                <w:sz w:val="22"/>
                <w:szCs w:val="22"/>
                <w:u w:val="none"/>
                <w:lang w:val="en-US" w:eastAsia="zh-CN" w:bidi="ar"/>
              </w:rPr>
              <w:t>121</w:t>
            </w:r>
          </w:p>
        </w:tc>
        <w:tc>
          <w:tcPr>
            <w:tcW w:w="338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044388">
            <w:pPr>
              <w:keepNext w:val="0"/>
              <w:keepLines w:val="0"/>
              <w:widowControl/>
              <w:suppressLineNumbers w:val="0"/>
              <w:jc w:val="both"/>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完善“城市大脑”基础设施与平台体系建设。</w:t>
            </w:r>
          </w:p>
        </w:tc>
        <w:tc>
          <w:tcPr>
            <w:tcW w:w="119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EA17F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区城管指挥中心</w:t>
            </w:r>
          </w:p>
        </w:tc>
      </w:tr>
    </w:tbl>
    <w:p w14:paraId="16D0597B">
      <w:pPr>
        <w:pStyle w:val="19"/>
        <w:ind w:left="0" w:leftChars="0" w:firstLine="0" w:firstLineChars="0"/>
        <w:rPr>
          <w:b w:val="0"/>
          <w:bCs w:val="0"/>
        </w:rPr>
      </w:pPr>
    </w:p>
    <w:sectPr>
      <w:headerReference r:id="rId4" w:type="default"/>
      <w:footerReference r:id="rId6" w:type="default"/>
      <w:headerReference r:id="rId5" w:type="even"/>
      <w:footerReference r:id="rId7" w:type="even"/>
      <w:pgSz w:w="11906" w:h="16838"/>
      <w:pgMar w:top="2098" w:right="1531" w:bottom="1984" w:left="1531" w:header="851" w:footer="1587"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0010101010101"/>
    <w:charset w:val="86"/>
    <w:family w:val="script"/>
    <w:pitch w:val="default"/>
    <w:sig w:usb0="00000001" w:usb1="080E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Helvetica">
    <w:panose1 w:val="00000000000000000000"/>
    <w:charset w:val="00"/>
    <w:family w:val="swiss"/>
    <w:pitch w:val="default"/>
    <w:sig w:usb0="E00002FF" w:usb1="5000785B" w:usb2="00000000" w:usb3="00000000" w:csb0="2000019F" w:csb1="4F010000"/>
  </w:font>
  <w:font w:name="Calibri Light">
    <w:altName w:val="Helvetica Neue"/>
    <w:panose1 w:val="020F0302020204030204"/>
    <w:charset w:val="00"/>
    <w:family w:val="swiss"/>
    <w:pitch w:val="default"/>
    <w:sig w:usb0="00000000" w:usb1="00000000" w:usb2="00000009" w:usb3="00000000" w:csb0="200001FF" w:csb1="00000000"/>
  </w:font>
  <w:font w:name="楷体">
    <w:altName w:val="汉仪楷体KW"/>
    <w:panose1 w:val="02010609060101010101"/>
    <w:charset w:val="86"/>
    <w:family w:val="auto"/>
    <w:pitch w:val="default"/>
    <w:sig w:usb0="00000000" w:usb1="00000000" w:usb2="00000016" w:usb3="00000000" w:csb0="00040001"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汉仪楷体简">
    <w:panose1 w:val="02010600000101010101"/>
    <w:charset w:val="86"/>
    <w:family w:val="auto"/>
    <w:pitch w:val="default"/>
    <w:sig w:usb0="00000001" w:usb1="080E0800" w:usb2="00000002"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063C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posOffset>4707255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5B517">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0.65pt;margin-top:0pt;height:144pt;width:144pt;mso-position-horizontal-relative:margin;mso-wrap-style:none;z-index:251659264;mso-width-relative:page;mso-height-relative:page;" filled="f" stroked="f" coordsize="21600,21600" o:gfxdata="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Iwn1TVAAAACQEAAA8AAAAAAAAAAQAgAAAAIgAAAGRycy9kb3ducmV2LnhtbFBL&#10;AQIUABQAAAAIAIdO4kB/jq0RMgIAAGEEAAAOAAAAAAAAAAEAIAAAACQBAABkcnMvZTJvRG9jLnht&#10;bFBLBQYAAAAABgAGAFkBAADIBQAAAAA=&#10;">
              <v:fill on="f" focussize="0,0"/>
              <v:stroke on="f" weight="0.5pt"/>
              <v:imagedata o:title=""/>
              <o:lock v:ext="edit" aspectratio="f"/>
              <v:textbox inset="0mm,0mm,0mm,0mm" style="mso-fit-shape-to-text:t;">
                <w:txbxContent>
                  <w:p w14:paraId="2A65B517">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B20C3">
    <w:pPr>
      <w:pStyle w:val="13"/>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posOffset>223520</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B2238">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6pt;margin-top:0pt;height:144pt;width:144pt;mso-position-horizontal-relative:margin;mso-wrap-style:none;z-index:251660288;mso-width-relative:page;mso-height-relative:page;" filled="f" stroked="f" coordsize="21600,21600" o:gfxdata="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wApQzTAAAABwEAAA8AAAAAAAAAAQAgAAAAIgAAAGRycy9kb3ducmV2LnhtbFBLAQIU&#10;ABQAAAAIAIdO4kAwiRJeMQIAAGEEAAAOAAAAAAAAAAEAIAAAACIBAABkcnMvZTJvRG9jLnhtbFBL&#10;BQYAAAAABgAGAFkBAADFBQAAAAA=&#10;">
              <v:fill on="f" focussize="0,0"/>
              <v:stroke on="f" weight="0.5pt"/>
              <v:imagedata o:title=""/>
              <o:lock v:ext="edit" aspectratio="f"/>
              <v:textbox inset="0mm,0mm,0mm,0mm" style="mso-fit-shape-to-text:t;">
                <w:txbxContent>
                  <w:p w14:paraId="593B2238">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75A7BF0A">
      <w:pPr>
        <w:pStyle w:val="15"/>
      </w:pPr>
      <w:r>
        <w:rPr>
          <w:rStyle w:val="26"/>
        </w:rPr>
        <w:footnoteRef/>
      </w:r>
      <w:r>
        <w:t xml:space="preserve"> </w:t>
      </w:r>
      <w:r>
        <w:rPr>
          <w:rFonts w:hint="eastAsia"/>
        </w:rPr>
        <w:t>即</w:t>
      </w:r>
      <w:r>
        <w:t>7个现有商圈（公主坟、五棵松、五道口、中关村、世纪城、万柳、清河商圈）和2个待培育商圈（西北旺和永丰商圈）</w:t>
      </w:r>
      <w:r>
        <w:rPr>
          <w:rFonts w:hint="eastAsia"/>
        </w:rPr>
        <w:t>。</w:t>
      </w:r>
    </w:p>
  </w:footnote>
  <w:footnote w:id="1">
    <w:p w14:paraId="1456E86B">
      <w:pPr>
        <w:pStyle w:val="15"/>
      </w:pPr>
      <w:r>
        <w:rPr>
          <w:rStyle w:val="26"/>
        </w:rPr>
        <w:footnoteRef/>
      </w:r>
      <w:r>
        <w:t xml:space="preserve"> </w:t>
      </w:r>
      <w:r>
        <w:rPr>
          <w:rFonts w:hint="eastAsia"/>
        </w:rPr>
        <w:t>政策清单、目标企业清单、空间资源清单、企业诉求清单、政策建议清单、政策及项目收获清单。</w:t>
      </w:r>
    </w:p>
  </w:footnote>
  <w:footnote w:id="2">
    <w:p w14:paraId="552A228D">
      <w:pPr>
        <w:pStyle w:val="15"/>
      </w:pPr>
      <w:r>
        <w:rPr>
          <w:rStyle w:val="26"/>
        </w:rPr>
        <w:footnoteRef/>
      </w:r>
      <w:r>
        <w:t xml:space="preserve"> </w:t>
      </w:r>
      <w:r>
        <w:rPr>
          <w:rFonts w:hint="eastAsia"/>
        </w:rPr>
        <w:t>即东升镇、海淀镇、四季青镇。</w:t>
      </w:r>
    </w:p>
  </w:footnote>
  <w:footnote w:id="3">
    <w:p w14:paraId="27313EB6">
      <w:pPr>
        <w:pStyle w:val="15"/>
      </w:pPr>
      <w:r>
        <w:rPr>
          <w:rStyle w:val="26"/>
        </w:rPr>
        <w:footnoteRef/>
      </w:r>
      <w:r>
        <w:t xml:space="preserve"> </w:t>
      </w:r>
      <w:r>
        <w:rPr>
          <w:rFonts w:hint="eastAsia"/>
        </w:rPr>
        <w:t>历史账、规划账、时间账、效果账。</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E1398">
    <w:pPr>
      <w:pStyle w:val="1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B47E8">
    <w:pPr>
      <w:pStyle w:val="14"/>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8D8C0"/>
    <w:multiLevelType w:val="singleLevel"/>
    <w:tmpl w:val="85F8D8C0"/>
    <w:lvl w:ilvl="0" w:tentative="0">
      <w:start w:val="1"/>
      <w:numFmt w:val="bullet"/>
      <w:lvlText w:val=""/>
      <w:lvlJc w:val="left"/>
      <w:pPr>
        <w:ind w:left="420" w:hanging="420"/>
      </w:pPr>
      <w:rPr>
        <w:rFonts w:hint="default" w:ascii="Wingdings" w:hAnsi="Wingdings"/>
      </w:rPr>
    </w:lvl>
  </w:abstractNum>
  <w:abstractNum w:abstractNumId="1">
    <w:nsid w:val="D3DD2556"/>
    <w:multiLevelType w:val="singleLevel"/>
    <w:tmpl w:val="D3DD2556"/>
    <w:lvl w:ilvl="0" w:tentative="0">
      <w:start w:val="1"/>
      <w:numFmt w:val="bullet"/>
      <w:lvlText w:val=""/>
      <w:lvlJc w:val="left"/>
      <w:pPr>
        <w:ind w:left="420" w:hanging="420"/>
      </w:pPr>
      <w:rPr>
        <w:rFonts w:hint="default" w:ascii="Wingdings" w:hAnsi="Wingdings"/>
      </w:rPr>
    </w:lvl>
  </w:abstractNum>
  <w:abstractNum w:abstractNumId="2">
    <w:nsid w:val="063E57DE"/>
    <w:multiLevelType w:val="singleLevel"/>
    <w:tmpl w:val="063E57DE"/>
    <w:lvl w:ilvl="0" w:tentative="0">
      <w:start w:val="1"/>
      <w:numFmt w:val="bullet"/>
      <w:lvlText w:val=""/>
      <w:lvlJc w:val="left"/>
      <w:pPr>
        <w:ind w:left="420" w:hanging="420"/>
      </w:pPr>
      <w:rPr>
        <w:rFonts w:hint="default" w:ascii="Wingdings" w:hAnsi="Wingdings"/>
      </w:rPr>
    </w:lvl>
  </w:abstractNum>
  <w:abstractNum w:abstractNumId="3">
    <w:nsid w:val="1EF2A3A0"/>
    <w:multiLevelType w:val="singleLevel"/>
    <w:tmpl w:val="1EF2A3A0"/>
    <w:lvl w:ilvl="0" w:tentative="0">
      <w:start w:val="1"/>
      <w:numFmt w:val="bullet"/>
      <w:lvlText w:val=""/>
      <w:lvlJc w:val="left"/>
      <w:pPr>
        <w:ind w:left="420" w:hanging="420"/>
      </w:pPr>
      <w:rPr>
        <w:rFonts w:hint="default" w:ascii="Wingdings" w:hAnsi="Wingdings"/>
      </w:rPr>
    </w:lvl>
  </w:abstractNum>
  <w:abstractNum w:abstractNumId="4">
    <w:nsid w:val="7FEFC566"/>
    <w:multiLevelType w:val="singleLevel"/>
    <w:tmpl w:val="7FEFC566"/>
    <w:lvl w:ilvl="0" w:tentative="0">
      <w:start w:val="1"/>
      <w:numFmt w:val="bullet"/>
      <w:lvlText w:val=""/>
      <w:lvlJc w:val="left"/>
      <w:pPr>
        <w:ind w:left="420" w:hanging="420"/>
      </w:pPr>
      <w:rPr>
        <w:rFonts w:hint="default" w:ascii="Wingdings" w:hAnsi="Wingdings"/>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Y2JkMmYyNTMxMTViZWI5MDM4ODZjOGIwMDc1YzEifQ=="/>
  </w:docVars>
  <w:rsids>
    <w:rsidRoot w:val="00E025AB"/>
    <w:rsid w:val="0000165C"/>
    <w:rsid w:val="00005CB8"/>
    <w:rsid w:val="00043994"/>
    <w:rsid w:val="00050BF9"/>
    <w:rsid w:val="00062B93"/>
    <w:rsid w:val="00063C85"/>
    <w:rsid w:val="000A6064"/>
    <w:rsid w:val="000B2E2E"/>
    <w:rsid w:val="000C3547"/>
    <w:rsid w:val="000C5C89"/>
    <w:rsid w:val="000D7173"/>
    <w:rsid w:val="000F626C"/>
    <w:rsid w:val="00100C06"/>
    <w:rsid w:val="00107A9E"/>
    <w:rsid w:val="001145E0"/>
    <w:rsid w:val="00126EAC"/>
    <w:rsid w:val="00173402"/>
    <w:rsid w:val="0018095E"/>
    <w:rsid w:val="001A101F"/>
    <w:rsid w:val="001C049C"/>
    <w:rsid w:val="001D3E20"/>
    <w:rsid w:val="001E38A8"/>
    <w:rsid w:val="001F6214"/>
    <w:rsid w:val="002305BA"/>
    <w:rsid w:val="00232C29"/>
    <w:rsid w:val="002441A4"/>
    <w:rsid w:val="00251901"/>
    <w:rsid w:val="00266F67"/>
    <w:rsid w:val="00275400"/>
    <w:rsid w:val="00276A99"/>
    <w:rsid w:val="00285F22"/>
    <w:rsid w:val="0029073E"/>
    <w:rsid w:val="002A34BF"/>
    <w:rsid w:val="002D0FFD"/>
    <w:rsid w:val="002E4B99"/>
    <w:rsid w:val="002E6141"/>
    <w:rsid w:val="00335468"/>
    <w:rsid w:val="0035587C"/>
    <w:rsid w:val="00367561"/>
    <w:rsid w:val="00375A7D"/>
    <w:rsid w:val="00385E52"/>
    <w:rsid w:val="003878AD"/>
    <w:rsid w:val="003A32F4"/>
    <w:rsid w:val="003C4EDD"/>
    <w:rsid w:val="003D5949"/>
    <w:rsid w:val="003E3726"/>
    <w:rsid w:val="00407EB2"/>
    <w:rsid w:val="00412745"/>
    <w:rsid w:val="00427ECD"/>
    <w:rsid w:val="00435F89"/>
    <w:rsid w:val="00443627"/>
    <w:rsid w:val="00461665"/>
    <w:rsid w:val="00476984"/>
    <w:rsid w:val="004A16B4"/>
    <w:rsid w:val="004B7C17"/>
    <w:rsid w:val="004E24BF"/>
    <w:rsid w:val="004F0E0F"/>
    <w:rsid w:val="005143C0"/>
    <w:rsid w:val="00514C4E"/>
    <w:rsid w:val="00531C06"/>
    <w:rsid w:val="00533A31"/>
    <w:rsid w:val="00535559"/>
    <w:rsid w:val="00556A4A"/>
    <w:rsid w:val="0057561C"/>
    <w:rsid w:val="00580809"/>
    <w:rsid w:val="005A5431"/>
    <w:rsid w:val="005C1813"/>
    <w:rsid w:val="005C3B58"/>
    <w:rsid w:val="005D1C3C"/>
    <w:rsid w:val="005F07AB"/>
    <w:rsid w:val="006053FC"/>
    <w:rsid w:val="00606F5B"/>
    <w:rsid w:val="0061083F"/>
    <w:rsid w:val="006303C6"/>
    <w:rsid w:val="00647F73"/>
    <w:rsid w:val="00652F20"/>
    <w:rsid w:val="00662245"/>
    <w:rsid w:val="0069182B"/>
    <w:rsid w:val="006A6E2B"/>
    <w:rsid w:val="006B7C9F"/>
    <w:rsid w:val="006C26F8"/>
    <w:rsid w:val="006F1B25"/>
    <w:rsid w:val="00721B98"/>
    <w:rsid w:val="007556AE"/>
    <w:rsid w:val="00771D10"/>
    <w:rsid w:val="00777A83"/>
    <w:rsid w:val="007848C1"/>
    <w:rsid w:val="007A0FF6"/>
    <w:rsid w:val="007B5EAB"/>
    <w:rsid w:val="007B7413"/>
    <w:rsid w:val="007C4D8C"/>
    <w:rsid w:val="00802812"/>
    <w:rsid w:val="00805FD0"/>
    <w:rsid w:val="008136D7"/>
    <w:rsid w:val="00833148"/>
    <w:rsid w:val="00835719"/>
    <w:rsid w:val="00841D82"/>
    <w:rsid w:val="008467C4"/>
    <w:rsid w:val="008A1C5E"/>
    <w:rsid w:val="008A4AF5"/>
    <w:rsid w:val="008B0D36"/>
    <w:rsid w:val="008B2815"/>
    <w:rsid w:val="008C0FEE"/>
    <w:rsid w:val="008C2298"/>
    <w:rsid w:val="008D1F94"/>
    <w:rsid w:val="008E4FD8"/>
    <w:rsid w:val="008F77CB"/>
    <w:rsid w:val="00916889"/>
    <w:rsid w:val="00943B68"/>
    <w:rsid w:val="00994983"/>
    <w:rsid w:val="009A49CF"/>
    <w:rsid w:val="009D696C"/>
    <w:rsid w:val="009F6A0B"/>
    <w:rsid w:val="00A02BCC"/>
    <w:rsid w:val="00A048CC"/>
    <w:rsid w:val="00A1075C"/>
    <w:rsid w:val="00A26A49"/>
    <w:rsid w:val="00A30824"/>
    <w:rsid w:val="00A41CB4"/>
    <w:rsid w:val="00A50A3F"/>
    <w:rsid w:val="00A54256"/>
    <w:rsid w:val="00A549B3"/>
    <w:rsid w:val="00A5633C"/>
    <w:rsid w:val="00A704CF"/>
    <w:rsid w:val="00A9788B"/>
    <w:rsid w:val="00AA4C27"/>
    <w:rsid w:val="00AA7B1A"/>
    <w:rsid w:val="00AC0192"/>
    <w:rsid w:val="00AD1A09"/>
    <w:rsid w:val="00AD4B01"/>
    <w:rsid w:val="00AD558F"/>
    <w:rsid w:val="00AE02DB"/>
    <w:rsid w:val="00B05787"/>
    <w:rsid w:val="00B169EB"/>
    <w:rsid w:val="00B17D94"/>
    <w:rsid w:val="00B22CB1"/>
    <w:rsid w:val="00B3173E"/>
    <w:rsid w:val="00B320A8"/>
    <w:rsid w:val="00B43E25"/>
    <w:rsid w:val="00B52CC0"/>
    <w:rsid w:val="00B5424C"/>
    <w:rsid w:val="00B60E2C"/>
    <w:rsid w:val="00BA5827"/>
    <w:rsid w:val="00BC17B4"/>
    <w:rsid w:val="00BE153B"/>
    <w:rsid w:val="00BF5AA6"/>
    <w:rsid w:val="00C03D07"/>
    <w:rsid w:val="00C158F4"/>
    <w:rsid w:val="00C41473"/>
    <w:rsid w:val="00C45D81"/>
    <w:rsid w:val="00C51346"/>
    <w:rsid w:val="00C544DA"/>
    <w:rsid w:val="00C6304E"/>
    <w:rsid w:val="00C703ED"/>
    <w:rsid w:val="00C76D03"/>
    <w:rsid w:val="00C76D83"/>
    <w:rsid w:val="00CB24B5"/>
    <w:rsid w:val="00CB40DC"/>
    <w:rsid w:val="00CC6053"/>
    <w:rsid w:val="00CF3F26"/>
    <w:rsid w:val="00CF56CB"/>
    <w:rsid w:val="00D01390"/>
    <w:rsid w:val="00D107DF"/>
    <w:rsid w:val="00D14A96"/>
    <w:rsid w:val="00D21C27"/>
    <w:rsid w:val="00D3515A"/>
    <w:rsid w:val="00D46293"/>
    <w:rsid w:val="00D47413"/>
    <w:rsid w:val="00D523E0"/>
    <w:rsid w:val="00D5584F"/>
    <w:rsid w:val="00D63922"/>
    <w:rsid w:val="00D752FE"/>
    <w:rsid w:val="00D91F37"/>
    <w:rsid w:val="00DA0C2E"/>
    <w:rsid w:val="00DA26AA"/>
    <w:rsid w:val="00DA336D"/>
    <w:rsid w:val="00DA4C40"/>
    <w:rsid w:val="00DC3E95"/>
    <w:rsid w:val="00DD51C5"/>
    <w:rsid w:val="00DE029E"/>
    <w:rsid w:val="00E01597"/>
    <w:rsid w:val="00E025AB"/>
    <w:rsid w:val="00E11BD5"/>
    <w:rsid w:val="00E148FD"/>
    <w:rsid w:val="00E6329C"/>
    <w:rsid w:val="00E67302"/>
    <w:rsid w:val="00E9096F"/>
    <w:rsid w:val="00EB4ADC"/>
    <w:rsid w:val="00EC6AD8"/>
    <w:rsid w:val="00EE1579"/>
    <w:rsid w:val="00EF5AD3"/>
    <w:rsid w:val="00F5207D"/>
    <w:rsid w:val="00F52BE1"/>
    <w:rsid w:val="00F63A71"/>
    <w:rsid w:val="00F96EF8"/>
    <w:rsid w:val="00FA50DF"/>
    <w:rsid w:val="00FA7BC5"/>
    <w:rsid w:val="00FC0FEE"/>
    <w:rsid w:val="00FF77F3"/>
    <w:rsid w:val="03261175"/>
    <w:rsid w:val="046F7498"/>
    <w:rsid w:val="05EF2698"/>
    <w:rsid w:val="121C431D"/>
    <w:rsid w:val="123A0C48"/>
    <w:rsid w:val="177F695C"/>
    <w:rsid w:val="1BE20C61"/>
    <w:rsid w:val="200D618E"/>
    <w:rsid w:val="20CC3453"/>
    <w:rsid w:val="21147903"/>
    <w:rsid w:val="21371C79"/>
    <w:rsid w:val="22916BD6"/>
    <w:rsid w:val="23EA1666"/>
    <w:rsid w:val="23F92820"/>
    <w:rsid w:val="2BBD6732"/>
    <w:rsid w:val="2DB2764A"/>
    <w:rsid w:val="2E730647"/>
    <w:rsid w:val="2FCE4F51"/>
    <w:rsid w:val="3064530A"/>
    <w:rsid w:val="375FF775"/>
    <w:rsid w:val="3BFC51A9"/>
    <w:rsid w:val="3E607694"/>
    <w:rsid w:val="3E811527"/>
    <w:rsid w:val="40E76EFA"/>
    <w:rsid w:val="43C70BED"/>
    <w:rsid w:val="48653870"/>
    <w:rsid w:val="4938307D"/>
    <w:rsid w:val="495B1C83"/>
    <w:rsid w:val="4C721219"/>
    <w:rsid w:val="514C537E"/>
    <w:rsid w:val="534925DD"/>
    <w:rsid w:val="58CA0DF2"/>
    <w:rsid w:val="5C442AF0"/>
    <w:rsid w:val="5C5510C9"/>
    <w:rsid w:val="5FCA07DE"/>
    <w:rsid w:val="6082665C"/>
    <w:rsid w:val="655A27E9"/>
    <w:rsid w:val="67512E26"/>
    <w:rsid w:val="6A341C76"/>
    <w:rsid w:val="6AE78428"/>
    <w:rsid w:val="6AEA04EB"/>
    <w:rsid w:val="6C7B74D4"/>
    <w:rsid w:val="6C7E0C10"/>
    <w:rsid w:val="6DEF7185"/>
    <w:rsid w:val="70667BE5"/>
    <w:rsid w:val="753375EC"/>
    <w:rsid w:val="7CE3A462"/>
    <w:rsid w:val="7D265F9B"/>
    <w:rsid w:val="ACDF7A3D"/>
    <w:rsid w:val="DFF72E86"/>
    <w:rsid w:val="FA8D65C0"/>
    <w:rsid w:val="FDBF00C8"/>
    <w:rsid w:val="FEB7C9AA"/>
    <w:rsid w:val="FFFE3167"/>
    <w:rsid w:val="FFFF1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qFormat="1"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name="annotation reference"/>
    <w:lsdException w:uiPriority="99" w:name="line number"/>
    <w:lsdException w:uiPriority="99"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4"/>
      <w:lang w:val="en-US" w:eastAsia="zh-CN" w:bidi="ar-SA"/>
    </w:rPr>
  </w:style>
  <w:style w:type="paragraph" w:styleId="4">
    <w:name w:val="heading 2"/>
    <w:basedOn w:val="1"/>
    <w:next w:val="1"/>
    <w:link w:val="27"/>
    <w:unhideWhenUsed/>
    <w:qFormat/>
    <w:uiPriority w:val="9"/>
    <w:pPr>
      <w:spacing w:line="560" w:lineRule="exact"/>
      <w:ind w:firstLine="200" w:firstLineChars="200"/>
      <w:outlineLvl w:val="1"/>
    </w:pPr>
    <w:rPr>
      <w:rFonts w:ascii="楷体_GB2312" w:hAnsi="楷体_GB2312" w:eastAsia="楷体_GB2312" w:cs="楷体_GB2312"/>
      <w:bCs/>
      <w:kern w:val="0"/>
      <w:sz w:val="32"/>
      <w:szCs w:val="32"/>
      <w:lang w:eastAsia="en-US" w:bidi="en-US"/>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31"/>
    <w:qFormat/>
    <w:uiPriority w:val="0"/>
    <w:rPr>
      <w:rFonts w:ascii="宋体" w:hAnsi="Courier New" w:cs="Courier New"/>
      <w:szCs w:val="21"/>
    </w:rPr>
  </w:style>
  <w:style w:type="paragraph" w:styleId="3">
    <w:name w:val="index 8"/>
    <w:basedOn w:val="1"/>
    <w:next w:val="1"/>
    <w:qFormat/>
    <w:uiPriority w:val="0"/>
    <w:pPr>
      <w:ind w:left="1400" w:leftChars="1400"/>
    </w:pPr>
  </w:style>
  <w:style w:type="paragraph" w:styleId="6">
    <w:name w:val="Normal Indent"/>
    <w:basedOn w:val="1"/>
    <w:unhideWhenUsed/>
    <w:qFormat/>
    <w:uiPriority w:val="99"/>
    <w:pPr>
      <w:spacing w:line="560" w:lineRule="exact"/>
      <w:ind w:firstLine="640" w:firstLineChars="200"/>
    </w:pPr>
    <w:rPr>
      <w:rFonts w:ascii="仿宋_GB2312" w:hAnsi="Arial" w:eastAsia="仿宋_GB2312" w:cs="Arial"/>
      <w:kern w:val="0"/>
      <w:sz w:val="32"/>
      <w:szCs w:val="44"/>
    </w:rPr>
  </w:style>
  <w:style w:type="paragraph" w:styleId="7">
    <w:name w:val="annotation text"/>
    <w:basedOn w:val="1"/>
    <w:link w:val="46"/>
    <w:qFormat/>
    <w:uiPriority w:val="0"/>
    <w:pPr>
      <w:jc w:val="left"/>
    </w:pPr>
    <w:rPr>
      <w:rFonts w:cs="Times New Roman"/>
      <w:lang w:val="zh-CN" w:eastAsia="zh-CN"/>
    </w:rPr>
  </w:style>
  <w:style w:type="paragraph" w:styleId="8">
    <w:name w:val="Body Text"/>
    <w:basedOn w:val="1"/>
    <w:link w:val="48"/>
    <w:qFormat/>
    <w:uiPriority w:val="0"/>
    <w:rPr>
      <w:rFonts w:eastAsia="仿宋_GB2312" w:cs="Times New Roman"/>
      <w:sz w:val="32"/>
      <w:szCs w:val="20"/>
    </w:rPr>
  </w:style>
  <w:style w:type="paragraph" w:styleId="9">
    <w:name w:val="Body Text Indent"/>
    <w:basedOn w:val="1"/>
    <w:link w:val="29"/>
    <w:unhideWhenUsed/>
    <w:qFormat/>
    <w:uiPriority w:val="99"/>
    <w:pPr>
      <w:spacing w:after="120"/>
      <w:ind w:left="420" w:leftChars="200"/>
    </w:pPr>
  </w:style>
  <w:style w:type="paragraph" w:styleId="10">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11">
    <w:name w:val="endnote text"/>
    <w:basedOn w:val="1"/>
    <w:link w:val="44"/>
    <w:qFormat/>
    <w:uiPriority w:val="99"/>
    <w:pPr>
      <w:snapToGrid w:val="0"/>
      <w:jc w:val="left"/>
    </w:pPr>
  </w:style>
  <w:style w:type="paragraph" w:styleId="12">
    <w:name w:val="Balloon Text"/>
    <w:basedOn w:val="1"/>
    <w:link w:val="32"/>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rFonts w:cs="Times New Roman"/>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35"/>
    <w:qFormat/>
    <w:uiPriority w:val="0"/>
    <w:pPr>
      <w:snapToGrid w:val="0"/>
      <w:jc w:val="left"/>
    </w:pPr>
    <w:rPr>
      <w:sz w:val="18"/>
      <w:szCs w:val="18"/>
    </w:rPr>
  </w:style>
  <w:style w:type="paragraph" w:styleId="16">
    <w:name w:val="index 9"/>
    <w:basedOn w:val="1"/>
    <w:next w:val="1"/>
    <w:unhideWhenUsed/>
    <w:qFormat/>
    <w:uiPriority w:val="99"/>
    <w:pPr>
      <w:ind w:left="1600" w:leftChars="1600"/>
    </w:pPr>
    <w:rPr>
      <w:rFonts w:ascii="等线" w:hAnsi="等线" w:eastAsia="仿宋_GB2312" w:cs="仿宋_GB2312"/>
      <w:kern w:val="0"/>
      <w:sz w:val="24"/>
      <w:szCs w:val="24"/>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annotation subject"/>
    <w:basedOn w:val="7"/>
    <w:next w:val="7"/>
    <w:link w:val="47"/>
    <w:semiHidden/>
    <w:unhideWhenUsed/>
    <w:qFormat/>
    <w:uiPriority w:val="99"/>
    <w:rPr>
      <w:rFonts w:cs="宋体"/>
      <w:b/>
      <w:bCs/>
      <w:lang w:val="en-US" w:eastAsia="zh-CN"/>
    </w:rPr>
  </w:style>
  <w:style w:type="paragraph" w:styleId="19">
    <w:name w:val="Body Text First Indent 2"/>
    <w:basedOn w:val="9"/>
    <w:link w:val="30"/>
    <w:unhideWhenUsed/>
    <w:qFormat/>
    <w:uiPriority w:val="99"/>
    <w:pPr>
      <w:ind w:left="0" w:firstLine="420"/>
    </w:pPr>
    <w:rPr>
      <w:rFonts w:ascii="仿宋_GB2312" w:eastAsia="仿宋_GB2312" w:cs="仿宋_GB2312"/>
      <w:kern w:val="0"/>
      <w:sz w:val="32"/>
      <w:szCs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endnote reference"/>
    <w:basedOn w:val="22"/>
    <w:qFormat/>
    <w:uiPriority w:val="99"/>
    <w:rPr>
      <w:vertAlign w:val="superscript"/>
    </w:rPr>
  </w:style>
  <w:style w:type="character" w:styleId="24">
    <w:name w:val="Hyperlink"/>
    <w:basedOn w:val="22"/>
    <w:unhideWhenUsed/>
    <w:qFormat/>
    <w:uiPriority w:val="99"/>
    <w:rPr>
      <w:color w:val="0000FF"/>
      <w:u w:val="single"/>
    </w:rPr>
  </w:style>
  <w:style w:type="character" w:styleId="25">
    <w:name w:val="annotation reference"/>
    <w:semiHidden/>
    <w:qFormat/>
    <w:uiPriority w:val="99"/>
    <w:rPr>
      <w:sz w:val="21"/>
      <w:szCs w:val="21"/>
    </w:rPr>
  </w:style>
  <w:style w:type="character" w:styleId="26">
    <w:name w:val="footnote reference"/>
    <w:basedOn w:val="22"/>
    <w:qFormat/>
    <w:uiPriority w:val="0"/>
    <w:rPr>
      <w:vertAlign w:val="superscript"/>
    </w:rPr>
  </w:style>
  <w:style w:type="character" w:customStyle="1" w:styleId="27">
    <w:name w:val="标题 2 Char"/>
    <w:basedOn w:val="22"/>
    <w:link w:val="4"/>
    <w:qFormat/>
    <w:uiPriority w:val="9"/>
    <w:rPr>
      <w:rFonts w:ascii="楷体_GB2312" w:hAnsi="楷体_GB2312" w:eastAsia="楷体_GB2312" w:cs="楷体_GB2312"/>
      <w:bCs/>
      <w:kern w:val="0"/>
      <w:sz w:val="32"/>
      <w:szCs w:val="32"/>
      <w:lang w:eastAsia="en-US" w:bidi="en-US"/>
    </w:rPr>
  </w:style>
  <w:style w:type="character" w:customStyle="1" w:styleId="28">
    <w:name w:val="标题 3 Char"/>
    <w:basedOn w:val="22"/>
    <w:link w:val="5"/>
    <w:qFormat/>
    <w:uiPriority w:val="9"/>
    <w:rPr>
      <w:rFonts w:ascii="Times New Roman" w:hAnsi="Times New Roman" w:eastAsia="宋体" w:cs="宋体"/>
      <w:b/>
      <w:bCs/>
      <w:sz w:val="32"/>
      <w:szCs w:val="32"/>
    </w:rPr>
  </w:style>
  <w:style w:type="character" w:customStyle="1" w:styleId="29">
    <w:name w:val="正文文本缩进 Char"/>
    <w:basedOn w:val="22"/>
    <w:link w:val="9"/>
    <w:semiHidden/>
    <w:qFormat/>
    <w:uiPriority w:val="99"/>
    <w:rPr>
      <w:rFonts w:ascii="Times New Roman" w:hAnsi="Times New Roman" w:eastAsia="宋体" w:cs="宋体"/>
      <w:szCs w:val="24"/>
    </w:rPr>
  </w:style>
  <w:style w:type="character" w:customStyle="1" w:styleId="30">
    <w:name w:val="正文首行缩进 2 Char"/>
    <w:basedOn w:val="29"/>
    <w:link w:val="19"/>
    <w:qFormat/>
    <w:uiPriority w:val="99"/>
    <w:rPr>
      <w:rFonts w:ascii="仿宋_GB2312" w:hAnsi="Times New Roman" w:eastAsia="仿宋_GB2312" w:cs="仿宋_GB2312"/>
      <w:kern w:val="0"/>
      <w:sz w:val="32"/>
      <w:szCs w:val="32"/>
    </w:rPr>
  </w:style>
  <w:style w:type="character" w:customStyle="1" w:styleId="31">
    <w:name w:val="纯文本 Char"/>
    <w:basedOn w:val="22"/>
    <w:link w:val="2"/>
    <w:qFormat/>
    <w:uiPriority w:val="0"/>
    <w:rPr>
      <w:rFonts w:ascii="宋体" w:hAnsi="Courier New" w:eastAsia="宋体" w:cs="Courier New"/>
      <w:szCs w:val="21"/>
    </w:rPr>
  </w:style>
  <w:style w:type="character" w:customStyle="1" w:styleId="32">
    <w:name w:val="批注框文本 Char"/>
    <w:basedOn w:val="22"/>
    <w:link w:val="12"/>
    <w:qFormat/>
    <w:uiPriority w:val="99"/>
    <w:rPr>
      <w:rFonts w:ascii="Times New Roman" w:hAnsi="Times New Roman" w:eastAsia="宋体" w:cs="宋体"/>
      <w:sz w:val="18"/>
      <w:szCs w:val="18"/>
    </w:rPr>
  </w:style>
  <w:style w:type="character" w:customStyle="1" w:styleId="33">
    <w:name w:val="页脚 Char"/>
    <w:basedOn w:val="22"/>
    <w:link w:val="13"/>
    <w:qFormat/>
    <w:uiPriority w:val="99"/>
    <w:rPr>
      <w:rFonts w:ascii="Times New Roman" w:hAnsi="Times New Roman" w:eastAsia="宋体" w:cs="Times New Roman"/>
      <w:sz w:val="18"/>
      <w:szCs w:val="18"/>
    </w:rPr>
  </w:style>
  <w:style w:type="character" w:customStyle="1" w:styleId="34">
    <w:name w:val="页眉 Char"/>
    <w:basedOn w:val="22"/>
    <w:link w:val="14"/>
    <w:qFormat/>
    <w:uiPriority w:val="99"/>
    <w:rPr>
      <w:rFonts w:ascii="Times New Roman" w:hAnsi="Times New Roman" w:eastAsia="宋体" w:cs="宋体"/>
      <w:sz w:val="18"/>
      <w:szCs w:val="18"/>
    </w:rPr>
  </w:style>
  <w:style w:type="character" w:customStyle="1" w:styleId="35">
    <w:name w:val="脚注文本 Char"/>
    <w:basedOn w:val="22"/>
    <w:link w:val="15"/>
    <w:qFormat/>
    <w:uiPriority w:val="0"/>
    <w:rPr>
      <w:rFonts w:ascii="Times New Roman" w:hAnsi="Times New Roman" w:eastAsia="宋体" w:cs="宋体"/>
      <w:sz w:val="18"/>
      <w:szCs w:val="18"/>
    </w:rPr>
  </w:style>
  <w:style w:type="paragraph" w:customStyle="1" w:styleId="36">
    <w:name w:val="Default"/>
    <w:qFormat/>
    <w:uiPriority w:val="0"/>
    <w:pPr>
      <w:widowControl w:val="0"/>
      <w:autoSpaceDE w:val="0"/>
      <w:autoSpaceDN w:val="0"/>
      <w:adjustRightInd w:val="0"/>
    </w:pPr>
    <w:rPr>
      <w:rFonts w:ascii="仿宋" w:hAnsi="Cambria" w:eastAsia="仿宋" w:cs="仿宋"/>
      <w:color w:val="000000"/>
      <w:kern w:val="0"/>
      <w:sz w:val="24"/>
      <w:szCs w:val="24"/>
      <w:lang w:val="en-US" w:eastAsia="en-US" w:bidi="ar-SA"/>
    </w:rPr>
  </w:style>
  <w:style w:type="character" w:customStyle="1" w:styleId="37">
    <w:name w:val="font21"/>
    <w:basedOn w:val="22"/>
    <w:qFormat/>
    <w:uiPriority w:val="0"/>
    <w:rPr>
      <w:rFonts w:ascii="Arial" w:hAnsi="Arial" w:cs="Arial"/>
      <w:color w:val="000000"/>
      <w:sz w:val="40"/>
      <w:szCs w:val="40"/>
      <w:u w:val="none"/>
    </w:rPr>
  </w:style>
  <w:style w:type="character" w:customStyle="1" w:styleId="38">
    <w:name w:val="font51"/>
    <w:basedOn w:val="22"/>
    <w:qFormat/>
    <w:uiPriority w:val="0"/>
    <w:rPr>
      <w:rFonts w:hint="eastAsia" w:ascii="仿宋_GB2312" w:eastAsia="仿宋_GB2312" w:cs="仿宋_GB2312"/>
      <w:color w:val="000000"/>
      <w:sz w:val="40"/>
      <w:szCs w:val="40"/>
      <w:u w:val="none"/>
    </w:rPr>
  </w:style>
  <w:style w:type="character" w:customStyle="1" w:styleId="39">
    <w:name w:val="font11"/>
    <w:basedOn w:val="22"/>
    <w:qFormat/>
    <w:uiPriority w:val="0"/>
    <w:rPr>
      <w:rFonts w:hint="eastAsia" w:ascii="仿宋_GB2312" w:eastAsia="仿宋_GB2312" w:cs="仿宋_GB2312"/>
      <w:color w:val="FF0000"/>
      <w:sz w:val="40"/>
      <w:szCs w:val="40"/>
      <w:u w:val="none"/>
    </w:rPr>
  </w:style>
  <w:style w:type="character" w:customStyle="1" w:styleId="40">
    <w:name w:val="font41"/>
    <w:basedOn w:val="22"/>
    <w:qFormat/>
    <w:uiPriority w:val="0"/>
    <w:rPr>
      <w:rFonts w:hint="eastAsia" w:ascii="仿宋_GB2312" w:eastAsia="仿宋_GB2312" w:cs="仿宋_GB2312"/>
      <w:color w:val="000000"/>
      <w:sz w:val="40"/>
      <w:szCs w:val="40"/>
      <w:u w:val="none"/>
    </w:rPr>
  </w:style>
  <w:style w:type="paragraph" w:customStyle="1" w:styleId="41">
    <w:name w:val="Char Char2"/>
    <w:basedOn w:val="1"/>
    <w:qFormat/>
    <w:uiPriority w:val="0"/>
    <w:rPr>
      <w:rFonts w:ascii="宋体" w:hAnsi="宋体" w:cs="Courier New"/>
      <w:sz w:val="32"/>
      <w:szCs w:val="32"/>
    </w:rPr>
  </w:style>
  <w:style w:type="paragraph" w:styleId="42">
    <w:name w:val="List Paragraph"/>
    <w:basedOn w:val="1"/>
    <w:unhideWhenUsed/>
    <w:qFormat/>
    <w:uiPriority w:val="34"/>
    <w:pPr>
      <w:ind w:firstLine="420" w:firstLineChars="200"/>
    </w:pPr>
  </w:style>
  <w:style w:type="paragraph" w:customStyle="1" w:styleId="43">
    <w:name w:val="Char1"/>
    <w:basedOn w:val="1"/>
    <w:qFormat/>
    <w:uiPriority w:val="0"/>
    <w:pPr>
      <w:adjustRightInd w:val="0"/>
      <w:spacing w:line="360" w:lineRule="auto"/>
    </w:pPr>
    <w:rPr>
      <w:rFonts w:cs="Times New Roman"/>
      <w:kern w:val="0"/>
      <w:szCs w:val="20"/>
    </w:rPr>
  </w:style>
  <w:style w:type="character" w:customStyle="1" w:styleId="44">
    <w:name w:val="尾注文本 Char"/>
    <w:basedOn w:val="22"/>
    <w:link w:val="11"/>
    <w:qFormat/>
    <w:uiPriority w:val="99"/>
    <w:rPr>
      <w:rFonts w:ascii="Times New Roman" w:hAnsi="Times New Roman" w:eastAsia="宋体" w:cs="宋体"/>
      <w:szCs w:val="24"/>
    </w:rPr>
  </w:style>
  <w:style w:type="paragraph" w:customStyle="1" w:styleId="45">
    <w:name w:val="p0"/>
    <w:basedOn w:val="1"/>
    <w:qFormat/>
    <w:uiPriority w:val="0"/>
    <w:pPr>
      <w:widowControl/>
    </w:pPr>
    <w:rPr>
      <w:rFonts w:cs="Times New Roman"/>
      <w:kern w:val="0"/>
      <w:szCs w:val="21"/>
    </w:rPr>
  </w:style>
  <w:style w:type="character" w:customStyle="1" w:styleId="46">
    <w:name w:val="批注文字 Char"/>
    <w:basedOn w:val="22"/>
    <w:link w:val="7"/>
    <w:qFormat/>
    <w:uiPriority w:val="0"/>
    <w:rPr>
      <w:rFonts w:ascii="Times New Roman" w:hAnsi="Times New Roman" w:eastAsia="宋体" w:cs="Times New Roman"/>
      <w:szCs w:val="24"/>
      <w:lang w:val="zh-CN" w:eastAsia="zh-CN"/>
    </w:rPr>
  </w:style>
  <w:style w:type="character" w:customStyle="1" w:styleId="47">
    <w:name w:val="批注主题 Char"/>
    <w:basedOn w:val="46"/>
    <w:link w:val="18"/>
    <w:semiHidden/>
    <w:qFormat/>
    <w:uiPriority w:val="99"/>
    <w:rPr>
      <w:rFonts w:ascii="Times New Roman" w:hAnsi="Times New Roman" w:eastAsia="宋体" w:cs="宋体"/>
      <w:b/>
      <w:bCs/>
      <w:szCs w:val="24"/>
      <w:lang w:val="zh-CN" w:eastAsia="zh-CN"/>
    </w:rPr>
  </w:style>
  <w:style w:type="character" w:customStyle="1" w:styleId="48">
    <w:name w:val="正文文本 Char"/>
    <w:basedOn w:val="22"/>
    <w:link w:val="8"/>
    <w:qFormat/>
    <w:uiPriority w:val="0"/>
    <w:rPr>
      <w:rFonts w:ascii="Times New Roman" w:hAnsi="Times New Roman" w:eastAsia="仿宋_GB2312" w:cs="Times New Roman"/>
      <w:sz w:val="32"/>
      <w:szCs w:val="20"/>
    </w:rPr>
  </w:style>
  <w:style w:type="character" w:customStyle="1" w:styleId="49">
    <w:name w:val="NormalCharacter"/>
    <w:qFormat/>
    <w:uiPriority w:val="0"/>
  </w:style>
  <w:style w:type="paragraph" w:customStyle="1" w:styleId="5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5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2">
    <w:name w:val="font31"/>
    <w:basedOn w:val="22"/>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26937</Words>
  <Characters>28490</Characters>
  <Lines>116</Lines>
  <Paragraphs>32</Paragraphs>
  <TotalTime>19</TotalTime>
  <ScaleCrop>false</ScaleCrop>
  <LinksUpToDate>false</LinksUpToDate>
  <CharactersWithSpaces>28492</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2021-11-20T07:01:00Z</dcterms:created>
  <dc:creator>lenovo</dc:creator>
  <cp:lastModifiedBy>WPS_1642748625</cp:lastModifiedBy>
  <dcterms:modified xsi:type="dcterms:W3CDTF">2025-07-15T14:53:22Z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4E13E59A989233CC6F49C663569765A9</vt:lpwstr>
  </property>
</Properties>
</file>