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B1" w:rsidRPr="00A85927" w:rsidRDefault="005D0DB1" w:rsidP="00B03E36">
      <w:pPr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 w:rsidRPr="00B97D3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关于《</w:t>
      </w:r>
      <w:r w:rsidRPr="00A8592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海淀区“十三五”时期产业发展</w:t>
      </w:r>
    </w:p>
    <w:p w:rsidR="005D0DB1" w:rsidRPr="00B97D31" w:rsidRDefault="005D0DB1" w:rsidP="00B03E36">
      <w:pPr>
        <w:spacing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A8592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和空间布局规划</w:t>
      </w:r>
      <w:r w:rsidRPr="00B97D3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》编制情况的报告</w:t>
      </w:r>
    </w:p>
    <w:p w:rsidR="005D0DB1" w:rsidRPr="00B97D31" w:rsidRDefault="005D0DB1" w:rsidP="007071EC">
      <w:pPr>
        <w:spacing w:line="56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 w:rsidRPr="00101DA9">
        <w:rPr>
          <w:rFonts w:ascii="宋体" w:hAnsi="宋体" w:cs="宋体"/>
          <w:kern w:val="0"/>
          <w:sz w:val="32"/>
          <w:szCs w:val="32"/>
        </w:rPr>
        <w:t>——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日在海淀区第十五届人大常委会</w:t>
      </w:r>
    </w:p>
    <w:p w:rsidR="005D0DB1" w:rsidRPr="00B97D31" w:rsidRDefault="005D0DB1" w:rsidP="007071EC">
      <w:pPr>
        <w:spacing w:line="56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第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60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主任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会议上</w:t>
      </w:r>
    </w:p>
    <w:p w:rsidR="005D0DB1" w:rsidRPr="007071EC" w:rsidRDefault="005D0DB1" w:rsidP="00B03E36">
      <w:pPr>
        <w:spacing w:line="56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 w:rsidR="005D0DB1" w:rsidRPr="00DA592A" w:rsidRDefault="005D0DB1" w:rsidP="00B03E36">
      <w:pPr>
        <w:spacing w:line="56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 w:rsidRPr="00DA592A">
        <w:rPr>
          <w:rFonts w:ascii="仿宋_GB2312" w:eastAsia="仿宋_GB2312" w:cs="楷体_GB2312" w:hint="eastAsia"/>
          <w:kern w:val="0"/>
          <w:sz w:val="32"/>
          <w:szCs w:val="32"/>
        </w:rPr>
        <w:t>海淀区发展和改革委员会</w:t>
      </w:r>
      <w:r>
        <w:rPr>
          <w:rFonts w:ascii="仿宋_GB2312" w:eastAsia="仿宋_GB2312" w:cs="楷体_GB2312" w:hint="eastAsia"/>
          <w:kern w:val="0"/>
          <w:sz w:val="32"/>
          <w:szCs w:val="32"/>
        </w:rPr>
        <w:t>主任</w:t>
      </w:r>
      <w:r>
        <w:rPr>
          <w:rFonts w:ascii="仿宋_GB2312" w:eastAsia="仿宋_GB2312" w:cs="楷体_GB2312"/>
          <w:kern w:val="0"/>
          <w:sz w:val="32"/>
          <w:szCs w:val="32"/>
        </w:rPr>
        <w:t xml:space="preserve"> </w:t>
      </w:r>
      <w:r>
        <w:rPr>
          <w:rFonts w:ascii="仿宋_GB2312" w:eastAsia="仿宋_GB2312" w:cs="楷体_GB2312" w:hint="eastAsia"/>
          <w:kern w:val="0"/>
          <w:sz w:val="32"/>
          <w:szCs w:val="32"/>
        </w:rPr>
        <w:t>梁捷</w:t>
      </w:r>
    </w:p>
    <w:p w:rsidR="005D0DB1" w:rsidRPr="00BC2D7C" w:rsidRDefault="005D0DB1" w:rsidP="00B03E36">
      <w:pPr>
        <w:spacing w:line="56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 w:rsidR="005D0DB1" w:rsidRPr="00E3361B" w:rsidRDefault="005D0DB1" w:rsidP="00B03E36">
      <w:pPr>
        <w:spacing w:line="560" w:lineRule="exact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E3361B">
        <w:rPr>
          <w:rFonts w:ascii="仿宋_GB2312" w:eastAsia="仿宋_GB2312" w:hAnsi="仿宋" w:cs="仿宋" w:hint="eastAsia"/>
          <w:kern w:val="0"/>
          <w:sz w:val="32"/>
          <w:szCs w:val="32"/>
        </w:rPr>
        <w:t>主任，各位副主任：</w:t>
      </w:r>
    </w:p>
    <w:p w:rsidR="005D0DB1" w:rsidRPr="00CB2D1B" w:rsidRDefault="005D0DB1" w:rsidP="00F3797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E3361B">
        <w:rPr>
          <w:rFonts w:ascii="仿宋_GB2312" w:eastAsia="仿宋_GB2312" w:hAnsi="华文中宋" w:cs="仿宋_GB2312" w:hint="eastAsia"/>
          <w:kern w:val="0"/>
          <w:sz w:val="32"/>
          <w:szCs w:val="32"/>
        </w:rPr>
        <w:t>根据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区委区政府工作部署，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区发改委牵头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起草了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《海淀区“十三五”时期产业发展和空间布局规划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（审议稿）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》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(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简称“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&lt;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审议稿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&gt;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)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。现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向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区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人大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常委会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报告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编制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进展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情况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和阶段性成果</w:t>
      </w:r>
      <w:r w:rsidRPr="001D2436">
        <w:rPr>
          <w:rFonts w:ascii="仿宋_GB2312" w:eastAsia="仿宋_GB2312" w:hAnsi="华文中宋" w:cs="仿宋_GB2312" w:hint="eastAsia"/>
          <w:kern w:val="0"/>
          <w:sz w:val="32"/>
          <w:szCs w:val="32"/>
        </w:rPr>
        <w:t>，请予以审议。</w:t>
      </w:r>
    </w:p>
    <w:p w:rsidR="005D0DB1" w:rsidRPr="00A807CA" w:rsidRDefault="005D0DB1" w:rsidP="00B03E36">
      <w:pPr>
        <w:spacing w:line="558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AE7AE8">
        <w:rPr>
          <w:rFonts w:ascii="黑体" w:eastAsia="黑体" w:hAnsi="黑体" w:cs="仿宋_GB2312" w:hint="eastAsia"/>
          <w:bCs/>
          <w:kern w:val="0"/>
          <w:sz w:val="32"/>
          <w:szCs w:val="32"/>
        </w:rPr>
        <w:t>一、规划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编制进展情况</w:t>
      </w:r>
    </w:p>
    <w:p w:rsidR="005D0DB1" w:rsidRPr="0025063B" w:rsidRDefault="005D0DB1" w:rsidP="00B749B5">
      <w:pPr>
        <w:spacing w:line="560" w:lineRule="exact"/>
        <w:ind w:firstLineChars="200" w:firstLine="640"/>
        <w:rPr>
          <w:rFonts w:ascii="楷体_GB2312" w:eastAsia="楷体_GB2312" w:hAnsi="华文中宋" w:cs="仿宋_GB2312"/>
          <w:kern w:val="0"/>
          <w:sz w:val="32"/>
          <w:szCs w:val="32"/>
        </w:rPr>
      </w:pPr>
      <w:r w:rsidRPr="0025063B">
        <w:rPr>
          <w:rFonts w:ascii="楷体_GB2312" w:eastAsia="楷体_GB2312" w:hAnsi="华文中宋" w:cs="仿宋_GB2312" w:hint="eastAsia"/>
          <w:kern w:val="0"/>
          <w:sz w:val="32"/>
          <w:szCs w:val="32"/>
        </w:rPr>
        <w:t>（一）规划编制背景</w:t>
      </w:r>
    </w:p>
    <w:p w:rsidR="005D0DB1" w:rsidRDefault="005D0DB1" w:rsidP="00B749B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根据《海淀区“十三五”规划研究编制工作方案》要求，产业发展和空间布局规划纳入海淀区“十三五”重点专项规划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（我区“十二五”时期未编制此专项规划）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。本规划是在京津冀协同发展战略、首都“四个中心”新定位下，围绕海淀区建设全国科技创新中心核心区的中心目标和“减人、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添秤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、服务”的重点任务，对构建“高精尖”经济结构和优化产业发展空间工作的专项部署。“十三五”时期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，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我区产业发展面临前所未有的新挑战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首先，疏解非首都功能、疏解低端低效产业形势紧迫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；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其次，人口规模、建设用地、水、能源等红线约束更加严格，产业发展空间严重不足；第三，产业增量准入标准更加严格。要实现“十三五”时期</w:t>
      </w:r>
      <w:r w:rsidRPr="007704BC">
        <w:rPr>
          <w:rFonts w:ascii="Times New Roman" w:eastAsia="仿宋_GB2312" w:hAnsi="Times New Roman" w:cs="Times New Roman"/>
          <w:kern w:val="0"/>
          <w:sz w:val="32"/>
          <w:szCs w:val="32"/>
        </w:rPr>
        <w:t>7%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以上的经济增长目标，实现内涵式集约发展，任务艰巨。因此，规划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要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坚持问题导向、需求导向，在注重发挥市场作用、遵循产业发展规律的基础上，更好地发挥政府作用，从海淀的产业发展实际出发，统筹平衡海淀产业要素、资源禀赋，坚持有所为有所不为，增强规划的指导性、可行性。</w:t>
      </w:r>
    </w:p>
    <w:p w:rsidR="005D0DB1" w:rsidRPr="0025063B" w:rsidRDefault="005D0DB1" w:rsidP="00B749B5">
      <w:pPr>
        <w:spacing w:line="560" w:lineRule="exact"/>
        <w:ind w:firstLineChars="200" w:firstLine="640"/>
        <w:rPr>
          <w:rFonts w:ascii="楷体_GB2312" w:eastAsia="楷体_GB2312" w:hAnsi="华文中宋" w:cs="仿宋_GB2312"/>
          <w:kern w:val="0"/>
          <w:sz w:val="32"/>
          <w:szCs w:val="32"/>
        </w:rPr>
      </w:pPr>
      <w:r w:rsidRPr="0025063B">
        <w:rPr>
          <w:rFonts w:ascii="楷体_GB2312" w:eastAsia="楷体_GB2312" w:hAnsi="华文中宋" w:cs="仿宋_GB2312" w:hint="eastAsia"/>
          <w:kern w:val="0"/>
          <w:sz w:val="32"/>
          <w:szCs w:val="32"/>
        </w:rPr>
        <w:t>（二）规划编制过程</w:t>
      </w:r>
    </w:p>
    <w:p w:rsidR="005D0DB1" w:rsidRDefault="005D0DB1" w:rsidP="00B749B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区委区政府高度重视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本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规划编制工作，召开政府专题会和区委常委会进行研究部署，根据会议精神和区领导要求，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规划编制体现了以下五个方面的特点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：</w:t>
      </w:r>
    </w:p>
    <w:p w:rsidR="005D0DB1" w:rsidRDefault="005D0DB1" w:rsidP="00B749B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931E7D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立足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产业发展现状。做好产业发展和空间布局的专题研究，对海淀区现有产业发展情况进行详实而具体的数据分析，对海淀区产业空间布局现状进行点对点的调研，摸清情况发现问题。在前期研究过程中，深入开展相关文献研究与理论梳理，为规划的编制开展提供了坚实的理论基础与数据支撑。</w:t>
      </w:r>
    </w:p>
    <w:p w:rsidR="005D0DB1" w:rsidRDefault="005D0DB1" w:rsidP="00B749B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931E7D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二是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强化问题与需求导向。面向区内主要产业联盟、重点企业，面向全区相关委办局、街镇等相关单位，多轮次开展实地调研与座谈交流，进一步深入研讨产业发展中的关键制约问题、产业发展的市场动态，广泛收集与详细分析企业需求，密切跟踪国际国内产业发展趋势，使规划接地气、合实际。</w:t>
      </w:r>
    </w:p>
    <w:p w:rsidR="005D0DB1" w:rsidRDefault="005D0DB1" w:rsidP="00B749B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931E7D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三是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强化相关规划衔接。在区级层面，落实区十三五规划纲要部署，加强部门联系沟通，密切对接科技创新、金融、文化、商贸、农业等专项规划和工作计划，加强规划任务细化落实。在国家、市级层面，对接国家重点产业政策规划、市级相关产业和重点功能区建设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规划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、京津冀协同发展规划等，做到上下一盘棋，增强大局观。</w:t>
      </w:r>
    </w:p>
    <w:p w:rsidR="005D0DB1" w:rsidRDefault="005D0DB1" w:rsidP="00B749B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931E7D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四是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强化多方力量参与。规划研究与编制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过程是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汇集各方智慧、凝聚社会共识的过程，先后多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轮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次征求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区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委办局、街镇、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市级相关部门和部分区人大代表、政协委员的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意见，同时邀请北京大学、南开大学、清华同衡研究院等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研究机构提供咨询，认真吸纳意见，反复权衡论证，不断修改完善，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形成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本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审议稿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）</w:t>
      </w:r>
      <w:r w:rsidRPr="0025063B">
        <w:rPr>
          <w:rFonts w:ascii="仿宋_GB2312" w:eastAsia="仿宋_GB2312" w:hAnsi="华文中宋" w:cs="仿宋_GB2312" w:hint="eastAsia"/>
          <w:kern w:val="0"/>
          <w:sz w:val="32"/>
          <w:szCs w:val="32"/>
        </w:rPr>
        <w:t>。</w:t>
      </w:r>
    </w:p>
    <w:p w:rsidR="005D0DB1" w:rsidRPr="0079338D" w:rsidRDefault="005D0DB1" w:rsidP="0079338D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79338D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五是</w:t>
      </w:r>
      <w:r w:rsidRPr="0079338D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内容突出重点。在产业体系的规划上，要立足现状，发挥优势，产业不搞大而全，不做过多的产业细分，主要密切跟踪国际国内产业发展方向、创新趋势，用好用足国家、北京市产业政策和各类资源，从政策环境上引导，充分发挥市场的主导作用。在产业空间规划上，要更好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地</w:t>
      </w:r>
      <w:r w:rsidRPr="0079338D">
        <w:rPr>
          <w:rFonts w:ascii="仿宋_GB2312" w:eastAsia="仿宋_GB2312" w:hAnsi="华文中宋" w:cs="仿宋_GB2312" w:hint="eastAsia"/>
          <w:kern w:val="0"/>
          <w:sz w:val="32"/>
          <w:szCs w:val="32"/>
        </w:rPr>
        <w:t>发挥政府对土地空间资源的主导调控作用，要针对产业发展的需要和存在的空间资源不足问题，加强土地空间的集约高效利用，重点对国有企业土地、集体建设用地及楼宇空间的腾退再利用。在</w:t>
      </w:r>
      <w:r w:rsidRPr="0079338D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产业支撑体系和规划实施保障上，更加强调政府行政资源的整合和政策机制的创新。</w:t>
      </w:r>
    </w:p>
    <w:p w:rsidR="005D0DB1" w:rsidRPr="009A7253" w:rsidRDefault="005D0DB1" w:rsidP="00B03E36">
      <w:pPr>
        <w:spacing w:line="558" w:lineRule="exact"/>
        <w:ind w:firstLineChars="200" w:firstLine="640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AF3FEB">
        <w:rPr>
          <w:rFonts w:ascii="黑体" w:eastAsia="黑体" w:hAnsi="黑体" w:cs="仿宋_GB2312" w:hint="eastAsia"/>
          <w:bCs/>
          <w:kern w:val="0"/>
          <w:sz w:val="32"/>
          <w:szCs w:val="32"/>
        </w:rPr>
        <w:t>二、</w:t>
      </w:r>
      <w:r w:rsidRPr="00943099">
        <w:rPr>
          <w:rFonts w:ascii="黑体" w:eastAsia="黑体" w:hAnsi="黑体" w:cs="仿宋_GB2312" w:hint="eastAsia"/>
          <w:bCs/>
          <w:kern w:val="0"/>
          <w:sz w:val="32"/>
          <w:szCs w:val="32"/>
        </w:rPr>
        <w:t>规划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（审议稿）主要内容（阶段性成果）</w:t>
      </w:r>
    </w:p>
    <w:p w:rsidR="005D0DB1" w:rsidRPr="00F77E93" w:rsidRDefault="005D0DB1" w:rsidP="00B03E36">
      <w:pPr>
        <w:spacing w:line="560" w:lineRule="exact"/>
        <w:ind w:firstLineChars="200" w:firstLine="640"/>
        <w:rPr>
          <w:rFonts w:ascii="楷体_GB2312" w:eastAsia="楷体_GB2312" w:hAnsi="华文中宋" w:cs="仿宋_GB2312"/>
          <w:bCs/>
          <w:kern w:val="0"/>
          <w:sz w:val="32"/>
          <w:szCs w:val="32"/>
        </w:rPr>
      </w:pPr>
      <w:r w:rsidRPr="00F77E93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（一）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关于</w:t>
      </w:r>
      <w:r w:rsidRPr="00F77E93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规划框架。</w:t>
      </w:r>
    </w:p>
    <w:p w:rsidR="005D0DB1" w:rsidRPr="00A85927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《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规划（审议稿）》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约</w:t>
      </w:r>
      <w:r w:rsidRPr="006E0E8D">
        <w:rPr>
          <w:rFonts w:ascii="Times New Roman" w:eastAsia="仿宋_GB2312" w:hAnsi="Times New Roman" w:cs="Times New Roman"/>
          <w:kern w:val="0"/>
          <w:sz w:val="32"/>
          <w:szCs w:val="32"/>
        </w:rPr>
        <w:t>2.5</w:t>
      </w:r>
      <w:r w:rsidRPr="00B97D31">
        <w:rPr>
          <w:rFonts w:ascii="仿宋_GB2312" w:eastAsia="仿宋_GB2312" w:cs="仿宋_GB2312" w:hint="eastAsia"/>
          <w:kern w:val="0"/>
          <w:sz w:val="32"/>
          <w:szCs w:val="32"/>
        </w:rPr>
        <w:t>万字</w:t>
      </w:r>
      <w:r>
        <w:rPr>
          <w:rFonts w:ascii="仿宋_GB2312" w:eastAsia="仿宋_GB2312" w:cs="仿宋_GB2312"/>
          <w:kern w:val="0"/>
          <w:sz w:val="32"/>
          <w:szCs w:val="32"/>
        </w:rPr>
        <w:t>,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共分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为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大部分：第一部分总结了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 xml:space="preserve"> 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“十二五”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时期产业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发展成就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，分析了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“十三五”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时期产业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发展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面临的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形势；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第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部分提出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“十三五”时期产业发展与空间布局的总体思路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、发展目标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第三部分阐述了构建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“高精尖”结构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的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现代产业体系的重点任务；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第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部分按照生产、生活、生态空间融合发展原则，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围绕构建支撑海淀功能定位的现代产业体系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，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提出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了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“一轴三带多组团”的产业空间新格局；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第五部分从优化产业环境、集聚高端人才、创新投融资机制、土地空间挖潜、提升政府服务、完善配套设施等方面，提出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产业支撑体系的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举措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第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部分着重从优化整合行政资源角度，提出规划实施保障措施。</w:t>
      </w:r>
    </w:p>
    <w:p w:rsidR="005D0DB1" w:rsidRPr="00031BBB" w:rsidRDefault="005D0DB1" w:rsidP="00B03E36">
      <w:pPr>
        <w:spacing w:line="560" w:lineRule="exact"/>
        <w:ind w:firstLineChars="200" w:firstLine="640"/>
        <w:rPr>
          <w:rFonts w:ascii="楷体_GB2312" w:eastAsia="楷体_GB2312" w:cs="Times New Roman"/>
          <w:kern w:val="0"/>
          <w:sz w:val="32"/>
          <w:szCs w:val="32"/>
        </w:rPr>
      </w:pP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（二</w:t>
      </w:r>
      <w:r w:rsidRPr="00031BBB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）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关于规划的</w:t>
      </w:r>
      <w:r w:rsidRPr="00031BBB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总体思路和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发展</w:t>
      </w:r>
      <w:r w:rsidRPr="00031BBB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目标</w:t>
      </w:r>
    </w:p>
    <w:p w:rsidR="005D0DB1" w:rsidRPr="00A85927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规划总体思路是：</w:t>
      </w:r>
      <w:r w:rsidRPr="0094649B">
        <w:rPr>
          <w:rFonts w:ascii="仿宋_GB2312" w:eastAsia="仿宋_GB2312" w:hAnsi="华文中宋" w:cs="仿宋_GB2312" w:hint="eastAsia"/>
          <w:kern w:val="0"/>
          <w:sz w:val="32"/>
          <w:szCs w:val="32"/>
        </w:rPr>
        <w:t>深入贯彻落实创新、协调、绿色、开放、共享的发展理念，全面实施京津冀协同发展战略，以建设全国科技创新中心核心区为中心，围绕着海淀区“减人、添秤、服务”的重点任务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，依托海淀创新创业资源富集的区位优势，着力提升自主创新能力，提高创新对经济增长的贡献率；巩固提升信息服务、科技服务和以科技金融为特色的金融服务等优势主导产业，培育壮大战略性先导产业，优化发展生活性服务业，大力推进产业跨界融合发展；引导区内形成中关村大街为主脉，“三山五园”及西山历史文化带、北部生态科技创新发展带、东部城市功能优化发展带为支撑，若干特色鲜明的产业组团为载体的</w:t>
      </w:r>
      <w:r w:rsidRPr="00C34CC8">
        <w:rPr>
          <w:rFonts w:ascii="仿宋_GB2312" w:eastAsia="仿宋_GB2312" w:hAnsi="华文中宋" w:cs="仿宋_GB2312" w:hint="eastAsia"/>
          <w:kern w:val="0"/>
          <w:sz w:val="32"/>
          <w:szCs w:val="32"/>
        </w:rPr>
        <w:t>“一轴三带多组团”的产业空间新格局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；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积极融入京津冀地区跨区域产业协作体系，内部优化和外部拓展并举塑造产业空间新格局，支撑海淀构建处于全球领先地位，且与全国科技创新中心核心区定位相适应的现代产业体系。</w:t>
      </w:r>
    </w:p>
    <w:p w:rsidR="005D0DB1" w:rsidRPr="00A85927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规划发展目标</w:t>
      </w:r>
      <w:r w:rsidRPr="002C65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提出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：</w:t>
      </w:r>
      <w:r w:rsidRPr="002C65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“到</w:t>
      </w:r>
      <w:r w:rsidRPr="006E0E8D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2020</w:t>
      </w:r>
      <w:r w:rsidRPr="002C65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年，海淀经济发展质量和效益大幅提升，地区生产总值年均增速</w:t>
      </w:r>
      <w:r w:rsidRPr="0087325B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7%</w:t>
      </w:r>
      <w:r w:rsidRPr="002C65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以上，劳动生产率达到</w:t>
      </w:r>
      <w:r w:rsidRPr="006E0E8D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35</w:t>
      </w:r>
      <w:r w:rsidRPr="002C65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万元</w:t>
      </w:r>
      <w:r w:rsidRPr="002C6527">
        <w:rPr>
          <w:rFonts w:ascii="仿宋_GB2312" w:eastAsia="仿宋_GB2312" w:hAnsi="华文中宋" w:cs="仿宋_GB2312"/>
          <w:bCs/>
          <w:kern w:val="0"/>
          <w:sz w:val="32"/>
          <w:szCs w:val="32"/>
        </w:rPr>
        <w:t>/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人左右”，在五个方面取得新成果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：“高精尖”经济结构加快形成、产业创新能力大幅提升、不符合首都功能的产业调整成效显著、产业空间格局进一步优化、创新创业环境更加完善。并从产业提质增效、重点产业发展、科技创新驱动、高端要素支撑四个方面提出</w:t>
      </w:r>
      <w:r w:rsidRPr="006E0E8D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项主要发展指标。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（具体指标详见附表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）</w:t>
      </w:r>
    </w:p>
    <w:p w:rsidR="005D0DB1" w:rsidRPr="004E11B4" w:rsidRDefault="005D0DB1" w:rsidP="00B03E36">
      <w:pPr>
        <w:spacing w:line="560" w:lineRule="exact"/>
        <w:ind w:firstLineChars="200" w:firstLine="640"/>
        <w:rPr>
          <w:rFonts w:ascii="楷体_GB2312" w:eastAsia="楷体_GB2312" w:hAnsi="华文中宋" w:cs="仿宋_GB2312"/>
          <w:bCs/>
          <w:kern w:val="0"/>
          <w:sz w:val="32"/>
          <w:szCs w:val="32"/>
        </w:rPr>
      </w:pP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（三</w:t>
      </w:r>
      <w:r w:rsidRPr="007A6632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）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关于</w:t>
      </w:r>
      <w:r w:rsidRPr="004E11B4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加快形成“高精尖”结构的现代产业体系</w:t>
      </w:r>
    </w:p>
    <w:p w:rsidR="005D0DB1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规划提出：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促进高端产业要素在海淀集聚，持续优化三次产业内部结构，提高生产性和生活性服务业品质，优先发展先进制造业，稳步发展都市农业，三次产业结构比例总体稳定在“十二五”末水平。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一是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构建创新型经济聚集区。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优化以领军企业总部为引领、以高速成长中型科技创新企业为支撑、以大量创新创业型小微企业为基础的金字塔式产业生态体系；重点把握研发、资本运作、国际化运营等产业价值链顶端环节，着力打造高端、高效、高辐射的创新型经济集聚区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二是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巩固提升优势主导产业。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大力发展移动互联网与下一代互联网、卫星导航及空间信息、大数据和云计算、集成电路设计等引领全球技术的新一代信息技术产业；做大做强以研发设计、知识产权、技术转移、创业孵化、检验检测、标准研制等为代表的高附加值、智力密集型科技服务产业；创新发展辐射全国的科技金融产业，统筹推进国家级科技金融产业功能区建设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三是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培育壮大战略性先导产业。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加快突破一批核心技术和关键共性技术，集聚高端创新主体，壮大战略性先导产业，打造千亿级产业集群。积极发展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以</w:t>
      </w:r>
      <w:r w:rsidRPr="004E11B4">
        <w:rPr>
          <w:rFonts w:ascii="仿宋_GB2312" w:eastAsia="仿宋_GB2312" w:hint="eastAsia"/>
          <w:sz w:val="32"/>
          <w:szCs w:val="32"/>
        </w:rPr>
        <w:t>工业设计、技术研发、检测认证、小批量试制、科技服务、市场推广等服务高端环节</w:t>
      </w:r>
      <w:r>
        <w:rPr>
          <w:rFonts w:ascii="仿宋_GB2312" w:eastAsia="仿宋_GB2312" w:hint="eastAsia"/>
          <w:sz w:val="32"/>
          <w:szCs w:val="32"/>
        </w:rPr>
        <w:t>为主的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高端智能制造业；持续发展技术领先的生物科学产业；重点研发新能源与环保材料、航空航天材料、生物医用材料、石墨烯材料，加强新材料领域关键技术攻关及产业化应用。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四是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优化发展生活性服务业。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着力发展现代商贸服务业，构建规模化、连锁化、便利化、品牌化、特色化、电商化的现代商贸服务体系；加快做优医疗健康服务业；促进旅游业与文化、科教、体育等产业的融合发展。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五是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大力推进产业跨界融合发展。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推进文化与科技、“互联网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>+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”、农村一二三产业融合、军民融合等多种新业态新模式创新发展。</w:t>
      </w:r>
    </w:p>
    <w:p w:rsidR="005D0DB1" w:rsidRPr="008B0C60" w:rsidRDefault="005D0DB1" w:rsidP="00A52C45">
      <w:pPr>
        <w:spacing w:line="560" w:lineRule="exact"/>
        <w:ind w:firstLineChars="200" w:firstLine="640"/>
        <w:rPr>
          <w:rFonts w:ascii="楷体_GB2312" w:eastAsia="楷体_GB2312" w:hAnsi="华文中宋" w:cs="仿宋_GB2312"/>
          <w:bCs/>
          <w:kern w:val="0"/>
          <w:sz w:val="32"/>
          <w:szCs w:val="32"/>
        </w:rPr>
      </w:pP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（四</w:t>
      </w:r>
      <w:r w:rsidRPr="008B0C60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）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关于</w:t>
      </w:r>
      <w:r w:rsidRPr="008B0C60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塑造产业空间新格局</w:t>
      </w:r>
    </w:p>
    <w:p w:rsidR="005D0DB1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规划提出：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在中关村科学城、北部生态科技新区、“三山五园”及西山历史文化带主要功能区划分的基础上，统筹规划生产、生活、生态空间，从区内整合和区外协同层面进一步优化产业空间布局。</w:t>
      </w:r>
      <w:bookmarkStart w:id="0" w:name="_Toc457287971"/>
      <w:bookmarkStart w:id="1" w:name="_Toc457904248"/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一是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构建“一轴三带多组团”的产业空间格局</w:t>
      </w:r>
      <w:bookmarkEnd w:id="0"/>
      <w:bookmarkEnd w:id="1"/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（见附图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）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构建以中关村大街为主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轴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，强化中枢、联动南北，以“三山五园”及西山历史文化带、北部生态科技创新发展带、东部城市功能优化发展带三条特色功能带为补充，纵深扩展、辐射东西，以九个创新服务功能组团和三个生态文化功能组团为重点，集聚创新核心要素、整合创新服务链条，形成层级完善、功能融合、覆盖全区的“一轴三带多组团”的产业空间格局。</w:t>
      </w:r>
      <w:r w:rsidRPr="00525392">
        <w:rPr>
          <w:rFonts w:ascii="仿宋_GB2312" w:eastAsia="仿宋_GB2312" w:hAnsi="华文中宋" w:cs="仿宋_GB2312" w:hint="eastAsia"/>
          <w:kern w:val="0"/>
          <w:sz w:val="32"/>
          <w:szCs w:val="32"/>
        </w:rPr>
        <w:t>优化提升中关村大街综合发展轴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重点发展中关村大街周边创新功能组团、四季青科技文化组团、西直门科技金融组团、西长安街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玉渊潭政务商务组团四个产业组团，着力支撑中关村科学城建设国家知识创新和战略性新兴技术策源地，并向北延伸辐射北部生态科技新区，在全区范围内全面打通贯穿南北的科技创新产业布局和服务链条，建设海淀创新功能引领区和国际化风貌展示区。</w:t>
      </w:r>
      <w:r w:rsidRPr="00525392">
        <w:rPr>
          <w:rFonts w:ascii="仿宋_GB2312" w:eastAsia="仿宋_GB2312" w:hAnsi="华文中宋" w:cs="仿宋_GB2312" w:hint="eastAsia"/>
          <w:kern w:val="0"/>
          <w:sz w:val="32"/>
          <w:szCs w:val="32"/>
        </w:rPr>
        <w:t>加快建设“三山五园”及西山历史文化带：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在严格保护生态的前提下，立足“三山五园”、龙泉寺、贝家花园等丰富的历史文化资源优势，重点发展“三山五园”历史文化旅游组团、西山生态文化休闲组团、生态休闲农业组团三个产业组团，拓展历史、文化、旅游功能，促进特色资源优势向产业优势的转化，探索历史文化资源保护、文创空间特色塑造、绿色生态环境品质提升的发展新模式。</w:t>
      </w:r>
      <w:r w:rsidRPr="00525392">
        <w:rPr>
          <w:rFonts w:ascii="仿宋_GB2312" w:eastAsia="仿宋_GB2312" w:hAnsi="华文中宋" w:cs="仿宋_GB2312" w:hint="eastAsia"/>
          <w:kern w:val="0"/>
          <w:sz w:val="32"/>
          <w:szCs w:val="32"/>
        </w:rPr>
        <w:t>着力打造北部生态科技创新发展带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强化创新要素与资源集聚，推动产业空间集约布局，加强建设用地的高效利用，重点发展大上地创新功能组团、翠湖创新功能组团、永丰创新功能组团三个产业组团，提升对海淀建设全国科技创新中心核心区的支撑作用，打造北部地区科技创新的主要地带和标志区域。</w:t>
      </w:r>
      <w:r w:rsidRPr="00525392">
        <w:rPr>
          <w:rFonts w:ascii="仿宋_GB2312" w:eastAsia="仿宋_GB2312" w:hAnsi="华文中宋" w:cs="仿宋_GB2312" w:hint="eastAsia"/>
          <w:kern w:val="0"/>
          <w:sz w:val="32"/>
          <w:szCs w:val="32"/>
        </w:rPr>
        <w:t>积极培育东部城市功能优化发展带。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加快京藏高速两侧功能集聚与空间拓展，重点带动清河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西三旗地区城市功能重组与空间整合，引导多元主体下的传统工业用地腾退改造和集体产业用地开发提升，重点发展软件与信息服务、智能制造等领域的研发、技术服务等高端环节，结合清河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西三旗创新功能组团、东升</w:t>
      </w:r>
      <w:r w:rsidRPr="00A85927"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小月河创新功能组团两个产业组团，打造东部城市功能优化和科技创新集聚的主要地带。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规划对各</w:t>
      </w:r>
      <w:r w:rsidRPr="004769B2">
        <w:rPr>
          <w:rFonts w:ascii="仿宋_GB2312" w:eastAsia="仿宋_GB2312" w:cs="Times New Roman" w:hint="eastAsia"/>
          <w:kern w:val="0"/>
          <w:sz w:val="32"/>
          <w:szCs w:val="32"/>
        </w:rPr>
        <w:t>核心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功能组团覆盖的</w:t>
      </w:r>
      <w:r w:rsidRPr="004769B2">
        <w:rPr>
          <w:rFonts w:ascii="仿宋_GB2312" w:eastAsia="仿宋_GB2312" w:cs="Times New Roman" w:hint="eastAsia"/>
          <w:kern w:val="0"/>
          <w:sz w:val="32"/>
          <w:szCs w:val="32"/>
        </w:rPr>
        <w:t>重要节点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，包含的</w:t>
      </w:r>
      <w:r w:rsidRPr="004769B2">
        <w:rPr>
          <w:rFonts w:ascii="仿宋_GB2312" w:eastAsia="仿宋_GB2312" w:cs="Times New Roman" w:hint="eastAsia"/>
          <w:kern w:val="0"/>
          <w:sz w:val="32"/>
          <w:szCs w:val="32"/>
        </w:rPr>
        <w:t>重点项目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和</w:t>
      </w:r>
      <w:r w:rsidRPr="004769B2">
        <w:rPr>
          <w:rFonts w:ascii="仿宋_GB2312" w:eastAsia="仿宋_GB2312" w:cs="Times New Roman" w:hint="eastAsia"/>
          <w:kern w:val="0"/>
          <w:sz w:val="32"/>
          <w:szCs w:val="32"/>
        </w:rPr>
        <w:t>重点产业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发展方向进行详细梳理。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（详见附表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附表</w:t>
      </w:r>
      <w:r w:rsidRPr="00C4502C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）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二是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进一步优化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都市农业、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先进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制造业、科技金融业、商贸服务业、文化创意产业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Ansi="华文中宋" w:cs="仿宋_GB2312"/>
          <w:kern w:val="0"/>
          <w:sz w:val="32"/>
          <w:szCs w:val="32"/>
        </w:rPr>
        <w:t>5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个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细分产业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的空间布局，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指导各产业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未来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空间布局和重点项目发展</w:t>
      </w: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。</w:t>
      </w:r>
    </w:p>
    <w:p w:rsidR="005D0DB1" w:rsidRPr="00A85927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kern w:val="0"/>
          <w:sz w:val="32"/>
          <w:szCs w:val="32"/>
        </w:rPr>
      </w:pPr>
      <w:r w:rsidRPr="008B0C60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三是</w:t>
      </w:r>
      <w:r w:rsidRPr="002A6479">
        <w:rPr>
          <w:rFonts w:ascii="仿宋_GB2312" w:eastAsia="仿宋_GB2312" w:hAnsi="华文中宋" w:cs="仿宋_GB2312" w:hint="eastAsia"/>
          <w:kern w:val="0"/>
          <w:sz w:val="32"/>
          <w:szCs w:val="32"/>
        </w:rPr>
        <w:t>推进跨地区产业协同布局。</w:t>
      </w:r>
      <w:r w:rsidRPr="008B0C60">
        <w:rPr>
          <w:rFonts w:ascii="仿宋_GB2312" w:eastAsia="仿宋_GB2312" w:hAnsi="华文中宋" w:cs="仿宋_GB2312" w:hint="eastAsia"/>
          <w:kern w:val="0"/>
          <w:sz w:val="32"/>
          <w:szCs w:val="32"/>
        </w:rPr>
        <w:t>充分发挥海淀区的科技创新资源优势，利用周边地区产业转化能力和腹地优势，有序引导、有效规范海淀区的资本、技术、管理、人才、标准、品牌输出，与北京其他区以及津冀合作共建一批产业对接协作平台、产业创新合作平台、“政府</w:t>
      </w:r>
      <w:r w:rsidRPr="008B0C60">
        <w:rPr>
          <w:rFonts w:ascii="仿宋_GB2312" w:eastAsia="仿宋_GB2312" w:hAnsi="华文中宋" w:cs="仿宋_GB2312"/>
          <w:kern w:val="0"/>
          <w:sz w:val="32"/>
          <w:szCs w:val="32"/>
        </w:rPr>
        <w:t>-</w:t>
      </w:r>
      <w:r w:rsidRPr="008B0C60">
        <w:rPr>
          <w:rFonts w:ascii="仿宋_GB2312" w:eastAsia="仿宋_GB2312" w:hAnsi="华文中宋" w:cs="仿宋_GB2312" w:hint="eastAsia"/>
          <w:kern w:val="0"/>
          <w:sz w:val="32"/>
          <w:szCs w:val="32"/>
        </w:rPr>
        <w:t>企业”合作平台、产业联盟，引导产业资源和创新服务资源向合作平台集聚，全面融入京津冀协同发展新格局，拓展海淀区产业发展空间。鼓励支持有条件、有实力的企业“走出去”，通过跨国并购、股权投资等方式在全球布局产业链。</w:t>
      </w:r>
    </w:p>
    <w:p w:rsidR="005D0DB1" w:rsidRPr="00597E79" w:rsidRDefault="005D0DB1" w:rsidP="00A52C45">
      <w:pPr>
        <w:spacing w:line="560" w:lineRule="exact"/>
        <w:ind w:firstLineChars="200" w:firstLine="640"/>
        <w:rPr>
          <w:rFonts w:ascii="楷体_GB2312" w:eastAsia="楷体_GB2312" w:hAnsi="华文中宋" w:cs="仿宋_GB2312"/>
          <w:bCs/>
          <w:kern w:val="0"/>
          <w:sz w:val="32"/>
          <w:szCs w:val="32"/>
        </w:rPr>
      </w:pPr>
      <w:r w:rsidRPr="00597E79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（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五</w:t>
      </w:r>
      <w:r w:rsidRPr="00597E79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）</w:t>
      </w:r>
      <w:r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关于</w:t>
      </w:r>
      <w:r w:rsidRPr="00597E79">
        <w:rPr>
          <w:rFonts w:ascii="楷体_GB2312" w:eastAsia="楷体_GB2312" w:hAnsi="华文中宋" w:cs="仿宋_GB2312" w:hint="eastAsia"/>
          <w:bCs/>
          <w:kern w:val="0"/>
          <w:sz w:val="32"/>
          <w:szCs w:val="32"/>
        </w:rPr>
        <w:t>规划的政策支撑和实施保障</w:t>
      </w:r>
    </w:p>
    <w:p w:rsidR="005D0DB1" w:rsidRDefault="005D0DB1" w:rsidP="00A52C45">
      <w:pPr>
        <w:spacing w:line="560" w:lineRule="exact"/>
        <w:ind w:firstLineChars="200" w:firstLine="640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根据产业发展和空间布局的重点任务，提出了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七项促进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产业支撑体系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完善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和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四项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强化规划实施保障的主要措施。</w:t>
      </w:r>
    </w:p>
    <w:p w:rsidR="005D0DB1" w:rsidRDefault="005D0DB1" w:rsidP="00B03E36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完善产业支撑体系的七项举</w:t>
      </w:r>
      <w:r w:rsidRPr="00B416F1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措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：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433A7A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一是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优化创新创业生态环境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。通过强化原始创新能力、丰富创新创业载体、支持中小微企业创新发展，不断优化产业发展创</w:t>
      </w:r>
      <w:r w:rsidRPr="00622893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新创业生态环境。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526A36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二是</w:t>
      </w:r>
      <w:r w:rsidRPr="00622893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聚合全球高端人才。开展全球顶尖人才引育工程，强化精准育才，探索人才引进管理服务新模式。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433A7A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三是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完善投融资运作机制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</w:t>
      </w:r>
      <w:r w:rsidRPr="00FD6BC1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推进政府与社会资本合作运营，进一步提高政府投资的引导作用，打造政府与社会投资合作改革的先行区。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充分利用资本市场，</w:t>
      </w:r>
      <w:r w:rsidRPr="00FD6BC1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引导更多股权投资机构在海淀区设立并投资战略性新兴产业。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FD6BC1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四是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挖掘产业空间潜力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。创新土地整治规划实施机制，</w:t>
      </w:r>
      <w:r w:rsidRPr="00526A36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创新土地供给模式，推进弹性供地、按腾退比例分批次供地等土地供给政策的先行先试，提高土地开发利用效率。盘活城镇低效用地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，</w:t>
      </w:r>
      <w:r w:rsidRPr="00526A36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建立低效闲置土地盘活利用融资平台，探索作价入股、企业自主再开发等存量土地盘活利用新方式。</w:t>
      </w:r>
      <w:r w:rsidRPr="00622893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拓展楼宇产业空间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，“腾笼换鸟”，加快传统电子卖场转型，为创新提供空间，</w:t>
      </w:r>
      <w:r w:rsidRPr="00622893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提升楼宇经济效益。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526A36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五是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提高平台专业服务能力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。完善在线服务平台管理效能，提高创新创业服务能力，提升在线平台与市场对接水平。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622893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六是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优化行政服务环境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。简化企业审批程序，规范市场经济秩序，引导企业用足用活用好政策，把握投资信息。</w:t>
      </w:r>
    </w:p>
    <w:p w:rsidR="005D0DB1" w:rsidRDefault="005D0DB1" w:rsidP="00525392">
      <w:pPr>
        <w:spacing w:line="558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622893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七是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强化基础设施配套。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保障居住配套设施建设，完善交通与市政基础设施，推动商业配套设施建设。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343D29"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规划实施</w:t>
      </w:r>
      <w:r>
        <w:rPr>
          <w:rFonts w:ascii="仿宋_GB2312" w:eastAsia="仿宋_GB2312" w:hAnsi="华文中宋" w:cs="仿宋_GB2312" w:hint="eastAsia"/>
          <w:b/>
          <w:kern w:val="0"/>
          <w:sz w:val="32"/>
          <w:szCs w:val="32"/>
        </w:rPr>
        <w:t>的</w:t>
      </w:r>
      <w:r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四</w:t>
      </w:r>
      <w:r w:rsidRPr="00B416F1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项保障措施</w:t>
      </w:r>
      <w:r w:rsidRPr="00A85927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：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343D29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一是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加强组织领导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强化全区统一领导、部门分工负责、街镇属地推动的产业发展促进机制，建立产业发展部门联席会议制，建设全区产业信息资源共享交换平台，完善规划实施与绩效评价体系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，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加强产业发展政策上下对接、横向协同。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343D29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二是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加强“多规协同”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建立以产业规划为指导、城市总体规划为基础、土地利用规划为边界，统一衔接、功能互补、相互协调的规划体系。通过产业发展部门联席会议，定期协商沟通，加强多项规划在目标、任务、协调机制等方面的统筹，注重土地、资金、人员等重大政策措施协调衔接，构建统一的产业发展和空间布局规划体系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343D29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三是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加强任务落实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统筹协调，将本规划确定的发展目标和主要任务，分解落实到相关产业专项规划、行动计划以及阶段性工作安排中。发挥税源建设促进机制作用，加强激励引导，强化街镇属地服务产业发展的职责，围绕产业发展目标、重点任务、重点项目，积极做好协调、服务、保障，创造良好环境，与部门、企业联动，共同推进产业项目。</w:t>
      </w:r>
    </w:p>
    <w:p w:rsidR="005D0DB1" w:rsidRDefault="005D0DB1" w:rsidP="00A52C45">
      <w:pPr>
        <w:spacing w:line="560" w:lineRule="exact"/>
        <w:ind w:firstLineChars="200" w:firstLine="643"/>
        <w:rPr>
          <w:rFonts w:ascii="仿宋_GB2312" w:eastAsia="仿宋_GB2312" w:hAnsi="华文中宋" w:cs="仿宋_GB2312"/>
          <w:bCs/>
          <w:kern w:val="0"/>
          <w:sz w:val="32"/>
          <w:szCs w:val="32"/>
        </w:rPr>
      </w:pPr>
      <w:r w:rsidRPr="00343D29">
        <w:rPr>
          <w:rFonts w:ascii="仿宋_GB2312" w:eastAsia="仿宋_GB2312" w:hAnsi="华文中宋" w:cs="仿宋_GB2312" w:hint="eastAsia"/>
          <w:b/>
          <w:bCs/>
          <w:kern w:val="0"/>
          <w:sz w:val="32"/>
          <w:szCs w:val="32"/>
        </w:rPr>
        <w:t>四是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加强实施监控</w:t>
      </w:r>
      <w:r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。强</w:t>
      </w:r>
      <w:r w:rsidRPr="002F57CC">
        <w:rPr>
          <w:rFonts w:ascii="仿宋_GB2312" w:eastAsia="仿宋_GB2312" w:hAnsi="华文中宋" w:cs="仿宋_GB2312" w:hint="eastAsia"/>
          <w:bCs/>
          <w:kern w:val="0"/>
          <w:sz w:val="32"/>
          <w:szCs w:val="32"/>
        </w:rPr>
        <w:t>化规划实施的跟踪监控机制，密切跟踪市场动态和重点企业发展，打造完善核心区产业发展综合数据支撑平台，建立健全领军型、高成长型与潜力型企业分类库。开展产业规划实施情况动态监测评估工作，围绕新兴产业、新兴业态和新的商业模式，强化区域特色监测。引入第三方独立评估，广泛听取社会各界对规划实施的意见和建议，根据评估结果，对规划进行修改调整。</w:t>
      </w:r>
    </w:p>
    <w:p w:rsidR="005D0DB1" w:rsidRDefault="005D0DB1" w:rsidP="00B03E36">
      <w:pPr>
        <w:spacing w:line="560" w:lineRule="exact"/>
        <w:ind w:firstLine="66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5D0DB1" w:rsidRDefault="005D0DB1" w:rsidP="00A52C45">
      <w:pPr>
        <w:spacing w:line="560" w:lineRule="exact"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主任，各位副主任：</w:t>
      </w:r>
      <w:r w:rsidRPr="00A85927">
        <w:rPr>
          <w:rFonts w:ascii="仿宋_GB2312" w:eastAsia="仿宋_GB2312" w:hAnsi="华文中宋" w:cs="仿宋_GB2312" w:hint="eastAsia"/>
          <w:kern w:val="0"/>
          <w:sz w:val="32"/>
          <w:szCs w:val="32"/>
        </w:rPr>
        <w:t>海淀区“十三五”时期产业发展和空间布局规划</w:t>
      </w: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，是海淀区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</w:t>
      </w: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十三五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”</w:t>
      </w: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规划体系的重要组成部分，对促进我区</w:t>
      </w:r>
      <w:r w:rsidRPr="000E6777">
        <w:rPr>
          <w:rFonts w:ascii="仿宋_GB2312" w:eastAsia="仿宋_GB2312" w:hAnsi="仿宋" w:cs="仿宋_GB2312" w:hint="eastAsia"/>
          <w:kern w:val="0"/>
          <w:sz w:val="32"/>
          <w:szCs w:val="32"/>
        </w:rPr>
        <w:t>产业体系建设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具有重要的统筹指导</w:t>
      </w: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作用。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此次汇报的</w:t>
      </w:r>
      <w:r w:rsidRPr="005C3A95">
        <w:rPr>
          <w:rFonts w:ascii="仿宋_GB2312" w:eastAsia="仿宋_GB2312" w:hAnsi="黑体" w:cs="仿宋_GB2312" w:hint="eastAsia"/>
          <w:bCs/>
          <w:kern w:val="0"/>
          <w:sz w:val="32"/>
          <w:szCs w:val="32"/>
        </w:rPr>
        <w:t>规划（审议稿）主要内容</w:t>
      </w:r>
      <w:r>
        <w:rPr>
          <w:rFonts w:ascii="仿宋_GB2312" w:eastAsia="仿宋_GB2312" w:hAnsi="黑体" w:cs="仿宋_GB2312" w:hint="eastAsia"/>
          <w:bCs/>
          <w:kern w:val="0"/>
          <w:sz w:val="32"/>
          <w:szCs w:val="32"/>
        </w:rPr>
        <w:t>，是规划编制的阶段性成果，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我们将按照本次会议精神</w:t>
      </w:r>
      <w:r w:rsidRPr="004032AF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进一步做好规划内容的修改完善，并按照程序报送区政府常务会、区委常委会审议。</w:t>
      </w:r>
    </w:p>
    <w:p w:rsidR="005D0DB1" w:rsidRDefault="005D0DB1" w:rsidP="00A52C45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Default="005D0DB1" w:rsidP="00B03E36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5D0DB1" w:rsidRPr="00B97D31" w:rsidRDefault="005D0DB1" w:rsidP="002239CD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附表</w:t>
      </w:r>
      <w:r w:rsidRPr="00B97D31">
        <w:rPr>
          <w:rFonts w:ascii="黑体" w:eastAsia="黑体" w:hAnsi="黑体" w:cs="黑体"/>
          <w:kern w:val="0"/>
          <w:sz w:val="28"/>
          <w:szCs w:val="28"/>
        </w:rPr>
        <w:t>1</w:t>
      </w:r>
    </w:p>
    <w:p w:rsidR="005D0DB1" w:rsidRPr="00C22E06" w:rsidRDefault="005D0DB1" w:rsidP="0039491A">
      <w:pPr>
        <w:pStyle w:val="a"/>
        <w:spacing w:beforeLines="0" w:afterLines="0" w:line="560" w:lineRule="exact"/>
        <w:rPr>
          <w:rFonts w:ascii="Times New Roman" w:hAnsi="Times New Roman"/>
        </w:rPr>
      </w:pPr>
      <w:r w:rsidRPr="00CA5EFF">
        <w:rPr>
          <w:rFonts w:ascii="Times New Roman" w:hAnsi="Times New Roman" w:hint="eastAsia"/>
        </w:rPr>
        <w:t>表</w:t>
      </w:r>
      <w:r w:rsidRPr="00CA5EFF">
        <w:rPr>
          <w:rFonts w:ascii="Times New Roman" w:hAnsi="Times New Roman"/>
        </w:rPr>
        <w:fldChar w:fldCharType="begin"/>
      </w:r>
      <w:r w:rsidRPr="00CA5EFF">
        <w:rPr>
          <w:rFonts w:ascii="Times New Roman" w:hAnsi="Times New Roman"/>
        </w:rPr>
        <w:instrText xml:space="preserve"> SEQ </w:instrText>
      </w:r>
      <w:r w:rsidRPr="00CA5EFF">
        <w:rPr>
          <w:rFonts w:ascii="Times New Roman" w:hAnsi="Times New Roman" w:hint="eastAsia"/>
        </w:rPr>
        <w:instrText>表</w:instrText>
      </w:r>
      <w:r w:rsidRPr="00CA5EFF">
        <w:rPr>
          <w:rFonts w:ascii="Times New Roman" w:hAnsi="Times New Roman"/>
        </w:rPr>
        <w:instrText xml:space="preserve"> \* ARABIC </w:instrText>
      </w:r>
      <w:r w:rsidRPr="00CA5EF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CA5EFF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CA5EFF">
        <w:rPr>
          <w:rFonts w:ascii="Times New Roman" w:hAnsi="Times New Roman" w:hint="eastAsia"/>
        </w:rPr>
        <w:t>海淀区“十三五”时期经济发展主要指标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5389"/>
        <w:gridCol w:w="990"/>
        <w:gridCol w:w="992"/>
      </w:tblGrid>
      <w:tr w:rsidR="005D0DB1" w:rsidRPr="00CA5EFF" w:rsidTr="00117630">
        <w:trPr>
          <w:trHeight w:val="20"/>
        </w:trPr>
        <w:tc>
          <w:tcPr>
            <w:tcW w:w="851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b/>
                <w:color w:val="auto"/>
              </w:rPr>
            </w:pPr>
            <w:r w:rsidRPr="00176C27">
              <w:rPr>
                <w:rFonts w:hint="eastAsia"/>
                <w:b/>
                <w:color w:val="auto"/>
              </w:rPr>
              <w:t>类别</w:t>
            </w: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b/>
                <w:color w:val="auto"/>
              </w:rPr>
            </w:pPr>
            <w:r w:rsidRPr="00176C27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b/>
                <w:color w:val="auto"/>
              </w:rPr>
            </w:pPr>
            <w:r w:rsidRPr="00176C27">
              <w:rPr>
                <w:rFonts w:hint="eastAsia"/>
                <w:b/>
                <w:color w:val="auto"/>
              </w:rPr>
              <w:t>指标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b/>
                <w:color w:val="auto"/>
              </w:rPr>
            </w:pPr>
            <w:r w:rsidRPr="00176C27">
              <w:rPr>
                <w:rFonts w:hint="eastAsia"/>
                <w:b/>
                <w:color w:val="auto"/>
              </w:rPr>
              <w:t>目标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b/>
                <w:color w:val="auto"/>
              </w:rPr>
            </w:pPr>
            <w:r w:rsidRPr="00176C27">
              <w:rPr>
                <w:rFonts w:hint="eastAsia"/>
                <w:b/>
                <w:color w:val="auto"/>
              </w:rPr>
              <w:t>属性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 w:val="restart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产业提质增效</w:t>
            </w: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劳动生产率（万元</w:t>
            </w:r>
            <w:r w:rsidRPr="00176C27">
              <w:rPr>
                <w:color w:val="auto"/>
                <w:sz w:val="21"/>
                <w:szCs w:val="21"/>
              </w:rPr>
              <w:t>/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人）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35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左右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地区生产总值年均增速（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7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服务业增加值占地区生产总值比重（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87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左右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单位地区生产总值水耗降幅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15</w:t>
            </w: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约束性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单位地区生产总值能耗降幅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达到市级要求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ascii="仿宋_GB2312" w:hAnsi="宋体" w:cs="宋体" w:hint="eastAsia"/>
                <w:color w:val="auto"/>
                <w:sz w:val="21"/>
                <w:szCs w:val="21"/>
              </w:rPr>
              <w:t>约束性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 w:val="restart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重点产业发展</w:t>
            </w: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6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高新技术产业增加值占地区生产总值比重（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65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7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信息传输、软件和信息技术服务业，科学研究和技术服务业，金融业的行业增加值年均增速（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8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文化创意产业收入年均增速（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322"/>
        </w:trPr>
        <w:tc>
          <w:tcPr>
            <w:tcW w:w="851" w:type="dxa"/>
            <w:vMerge w:val="restart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科技创新驱动</w:t>
            </w: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海淀园总收入年均增速（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10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园区企业科技经费投入强度（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5.8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11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技术合同成交额年均增速（</w:t>
            </w:r>
            <w:r w:rsidRPr="00176C27">
              <w:rPr>
                <w:color w:val="auto"/>
                <w:sz w:val="21"/>
                <w:szCs w:val="21"/>
              </w:rPr>
              <w:t>%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3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左右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 w:val="restart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高端要素支撑</w:t>
            </w: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12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新增劳动力平均受教育年限（年）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15</w:t>
            </w:r>
            <w:r w:rsidRPr="00176C27">
              <w:rPr>
                <w:rFonts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13</w:t>
            </w:r>
          </w:p>
        </w:tc>
        <w:tc>
          <w:tcPr>
            <w:tcW w:w="5389" w:type="dxa"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每年新增海英计划人才（人）</w:t>
            </w:r>
          </w:p>
        </w:tc>
        <w:tc>
          <w:tcPr>
            <w:tcW w:w="990" w:type="dxa"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20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14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企业研发机构（家）</w:t>
            </w:r>
          </w:p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（园区企业设立的各类研发中心，不含高校院所）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1100</w:t>
            </w:r>
          </w:p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左右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  <w:tr w:rsidR="005D0DB1" w:rsidRPr="00CA5EFF" w:rsidTr="00117630">
        <w:trPr>
          <w:trHeight w:val="62"/>
        </w:trPr>
        <w:tc>
          <w:tcPr>
            <w:tcW w:w="851" w:type="dxa"/>
            <w:vMerge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15</w:t>
            </w:r>
          </w:p>
        </w:tc>
        <w:tc>
          <w:tcPr>
            <w:tcW w:w="5389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科技金融机构（家）</w:t>
            </w:r>
          </w:p>
        </w:tc>
        <w:tc>
          <w:tcPr>
            <w:tcW w:w="990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color w:val="auto"/>
                <w:sz w:val="21"/>
                <w:szCs w:val="21"/>
              </w:rPr>
              <w:t>2800</w:t>
            </w:r>
          </w:p>
        </w:tc>
        <w:tc>
          <w:tcPr>
            <w:tcW w:w="992" w:type="dxa"/>
            <w:noWrap/>
            <w:vAlign w:val="center"/>
          </w:tcPr>
          <w:p w:rsidR="005D0DB1" w:rsidRPr="00176C27" w:rsidRDefault="005D0DB1" w:rsidP="00117630">
            <w:pPr>
              <w:pStyle w:val="1"/>
              <w:rPr>
                <w:color w:val="auto"/>
                <w:sz w:val="21"/>
                <w:szCs w:val="21"/>
              </w:rPr>
            </w:pPr>
            <w:r w:rsidRPr="00176C27">
              <w:rPr>
                <w:rFonts w:hint="eastAsia"/>
                <w:color w:val="auto"/>
                <w:sz w:val="21"/>
                <w:szCs w:val="21"/>
              </w:rPr>
              <w:t>预期性</w:t>
            </w:r>
          </w:p>
        </w:tc>
      </w:tr>
    </w:tbl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5D0DB1" w:rsidRDefault="005D0DB1" w:rsidP="002239CD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附图</w:t>
      </w:r>
      <w:r>
        <w:rPr>
          <w:rFonts w:ascii="黑体" w:eastAsia="黑体" w:hAnsi="黑体" w:cs="黑体"/>
          <w:kern w:val="0"/>
          <w:sz w:val="28"/>
          <w:szCs w:val="28"/>
        </w:rPr>
        <w:t>1</w:t>
      </w:r>
    </w:p>
    <w:p w:rsidR="005D0DB1" w:rsidRPr="00A52C45" w:rsidRDefault="005D0DB1" w:rsidP="0039491A">
      <w:pPr>
        <w:spacing w:line="56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6" type="#_x0000_t75" style="position:absolute;left:0;text-align:left;margin-left:-33.3pt;margin-top:36.1pt;width:481.5pt;height:584.25pt;z-index:251658240;visibility:visible">
            <v:imagedata r:id="rId6" o:title=""/>
            <w10:wrap type="square"/>
          </v:shape>
        </w:pict>
      </w:r>
      <w:r w:rsidRPr="00A52C45">
        <w:rPr>
          <w:rFonts w:ascii="黑体" w:eastAsia="黑体" w:hAnsi="黑体" w:hint="eastAsia"/>
          <w:sz w:val="24"/>
          <w:szCs w:val="24"/>
        </w:rPr>
        <w:t>图</w:t>
      </w:r>
      <w:r w:rsidRPr="00A52C45">
        <w:rPr>
          <w:rFonts w:ascii="黑体" w:eastAsia="黑体" w:hAnsi="黑体"/>
          <w:sz w:val="24"/>
          <w:szCs w:val="24"/>
        </w:rPr>
        <w:fldChar w:fldCharType="begin"/>
      </w:r>
      <w:r w:rsidRPr="00A52C45">
        <w:rPr>
          <w:rFonts w:ascii="黑体" w:eastAsia="黑体" w:hAnsi="黑体"/>
          <w:sz w:val="24"/>
          <w:szCs w:val="24"/>
        </w:rPr>
        <w:instrText xml:space="preserve"> SEQ </w:instrText>
      </w:r>
      <w:r w:rsidRPr="00A52C45">
        <w:rPr>
          <w:rFonts w:ascii="黑体" w:eastAsia="黑体" w:hAnsi="黑体" w:hint="eastAsia"/>
          <w:sz w:val="24"/>
          <w:szCs w:val="24"/>
        </w:rPr>
        <w:instrText>图</w:instrText>
      </w:r>
      <w:r w:rsidRPr="00A52C45">
        <w:rPr>
          <w:rFonts w:ascii="黑体" w:eastAsia="黑体" w:hAnsi="黑体"/>
          <w:sz w:val="24"/>
          <w:szCs w:val="24"/>
        </w:rPr>
        <w:instrText xml:space="preserve"> \* ARABIC </w:instrText>
      </w:r>
      <w:r w:rsidRPr="00A52C45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noProof/>
          <w:sz w:val="24"/>
          <w:szCs w:val="24"/>
        </w:rPr>
        <w:t>1</w:t>
      </w:r>
      <w:r w:rsidRPr="00A52C45">
        <w:rPr>
          <w:rFonts w:ascii="黑体" w:eastAsia="黑体" w:hAnsi="黑体"/>
          <w:sz w:val="24"/>
          <w:szCs w:val="24"/>
        </w:rPr>
        <w:fldChar w:fldCharType="end"/>
      </w:r>
      <w:r w:rsidRPr="00A52C45">
        <w:rPr>
          <w:rFonts w:ascii="黑体" w:eastAsia="黑体" w:hAnsi="黑体"/>
          <w:sz w:val="24"/>
          <w:szCs w:val="24"/>
        </w:rPr>
        <w:t xml:space="preserve"> </w:t>
      </w:r>
      <w:r w:rsidRPr="00A52C45">
        <w:rPr>
          <w:rFonts w:ascii="黑体" w:eastAsia="黑体" w:hAnsi="黑体" w:hint="eastAsia"/>
          <w:sz w:val="24"/>
          <w:szCs w:val="24"/>
        </w:rPr>
        <w:t>海淀区“十三五”时期“一轴三带多组团”产业空间格局</w:t>
      </w: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Pr="00B97D31" w:rsidRDefault="005D0DB1" w:rsidP="002239CD">
      <w:pPr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r w:rsidRPr="00B97D31">
        <w:rPr>
          <w:rFonts w:ascii="黑体" w:eastAsia="黑体" w:hAnsi="黑体" w:cs="黑体" w:hint="eastAsia"/>
          <w:kern w:val="0"/>
          <w:sz w:val="28"/>
          <w:szCs w:val="28"/>
        </w:rPr>
        <w:t>附</w:t>
      </w:r>
      <w:r>
        <w:rPr>
          <w:rFonts w:ascii="黑体" w:eastAsia="黑体" w:hAnsi="黑体" w:cs="黑体" w:hint="eastAsia"/>
          <w:kern w:val="0"/>
          <w:sz w:val="28"/>
          <w:szCs w:val="28"/>
        </w:rPr>
        <w:t>表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</w:p>
    <w:p w:rsidR="005D0DB1" w:rsidRPr="00C22E06" w:rsidRDefault="005D0DB1" w:rsidP="00D17E9D">
      <w:pPr>
        <w:pStyle w:val="a"/>
        <w:spacing w:beforeLines="0" w:afterLines="0" w:line="560" w:lineRule="exact"/>
        <w:ind w:firstLineChars="0" w:firstLine="0"/>
      </w:pPr>
      <w:r w:rsidRPr="00CA5EFF">
        <w:rPr>
          <w:rFonts w:hint="eastAsia"/>
        </w:rPr>
        <w:t>表</w:t>
      </w:r>
      <w:fldSimple w:instr=" SEQ 表 \* ARABIC ">
        <w:r>
          <w:rPr>
            <w:noProof/>
          </w:rPr>
          <w:t>2</w:t>
        </w:r>
      </w:fldSimple>
      <w:r w:rsidRPr="00CA5EFF">
        <w:t xml:space="preserve"> </w:t>
      </w:r>
      <w:r w:rsidRPr="00CA5EFF">
        <w:rPr>
          <w:rFonts w:hint="eastAsia"/>
        </w:rPr>
        <w:t>中关村大街综合发展轴“十三五”时期重点产业空间载体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2585"/>
        <w:gridCol w:w="3231"/>
        <w:gridCol w:w="1242"/>
      </w:tblGrid>
      <w:tr w:rsidR="005D0DB1" w:rsidRPr="00CA5EFF" w:rsidTr="00176C27">
        <w:tc>
          <w:tcPr>
            <w:tcW w:w="1238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核心组团</w:t>
            </w:r>
          </w:p>
        </w:tc>
        <w:tc>
          <w:tcPr>
            <w:tcW w:w="2585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重要节点</w:t>
            </w:r>
          </w:p>
        </w:tc>
        <w:tc>
          <w:tcPr>
            <w:tcW w:w="3231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重点产业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中关村大街周边创新功能组团</w:t>
            </w: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清华</w:t>
            </w:r>
            <w:r w:rsidRPr="00176C27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五道口综合创新服务功能区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中关村智造大街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一亩园文化创意产业区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中关村西区创新服务区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院所存量改造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北京大学实验设备</w:t>
            </w:r>
            <w:r w:rsidRPr="00176C27">
              <w:rPr>
                <w:kern w:val="0"/>
                <w:sz w:val="18"/>
                <w:szCs w:val="18"/>
              </w:rPr>
              <w:t>2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号楼、生命科学科研大楼、景观设计学大楼、国家发展研究院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教育科研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中国人民大学创意产业技术研究院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教育科研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中国农业大学植保楼、图书馆、教学科研楼等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教育科研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北林大生态环保产业技术研究院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北科大新兴产业技术研究院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中电十五所信息服务创新园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中科院计算机网络中心互联网创新服务园（致真大厦）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北航国际航空航天创新园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中航中关村航空科技园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北理工军民融合创新园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北太平庄文化创意产业区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四道口</w:t>
            </w:r>
            <w:r w:rsidRPr="00176C27">
              <w:rPr>
                <w:kern w:val="0"/>
                <w:sz w:val="18"/>
                <w:szCs w:val="18"/>
              </w:rPr>
              <w:t>-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大钟寺综合创新服务功能区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魏公村文化创意产业区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甘家口文化创意产业区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768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创意设计园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中海动漫孵化基地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四季青科技文化组团</w:t>
            </w: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中关村互联网金融产业园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科技金融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四季青军民融合产业园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世纪城商圈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商贸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锦绣大地生活服务区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锦绣大地物流港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生活服务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西山文化创意大道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ind w:firstLineChars="400" w:firstLine="720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益园文化科技园区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玉泉慧谷信息安全产业园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西直门外科技金融组团</w:t>
            </w:r>
          </w:p>
        </w:tc>
        <w:tc>
          <w:tcPr>
            <w:tcW w:w="2585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北下关科技金融服务示范区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中央财经大学科技金融产业园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科技金融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Del="003F04B5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中关村资本大厦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科技金融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院所存量改造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北交大现代轨道交通产业技术研究院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北师大教育科技产业园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西长安街</w:t>
            </w:r>
            <w:r w:rsidRPr="00176C27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玉渊潭政务商务组团</w:t>
            </w: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五棵松商圈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商贸政务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公主坟商圈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商贸政务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38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231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中关村互联网文化创意产业园（五路居文化创意园）</w:t>
            </w:r>
          </w:p>
        </w:tc>
        <w:tc>
          <w:tcPr>
            <w:tcW w:w="124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</w:tbl>
    <w:p w:rsidR="005D0DB1" w:rsidRPr="00A5723B" w:rsidRDefault="005D0DB1" w:rsidP="00156B2C">
      <w:pPr>
        <w:adjustRightInd w:val="0"/>
        <w:snapToGrid w:val="0"/>
        <w:spacing w:beforeLines="50" w:afterLines="50"/>
        <w:rPr>
          <w:rFonts w:ascii="黑体" w:eastAsia="黑体" w:hAnsi="黑体" w:cs="Times New Roman"/>
          <w:sz w:val="28"/>
          <w:szCs w:val="28"/>
        </w:rPr>
      </w:pPr>
      <w:r w:rsidRPr="00A5723B">
        <w:rPr>
          <w:rFonts w:ascii="黑体" w:eastAsia="黑体" w:hAnsi="黑体" w:cs="Times New Roman" w:hint="eastAsia"/>
          <w:sz w:val="28"/>
          <w:szCs w:val="28"/>
        </w:rPr>
        <w:t>附表</w:t>
      </w:r>
      <w:r w:rsidRPr="00A5723B">
        <w:rPr>
          <w:rFonts w:ascii="黑体" w:eastAsia="黑体" w:hAnsi="黑体" w:cs="Times New Roman"/>
          <w:sz w:val="28"/>
          <w:szCs w:val="28"/>
        </w:rPr>
        <w:t>3</w:t>
      </w:r>
    </w:p>
    <w:p w:rsidR="005D0DB1" w:rsidRPr="00E32B69" w:rsidRDefault="005D0DB1" w:rsidP="007D300B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E32B69">
        <w:rPr>
          <w:rFonts w:ascii="黑体" w:eastAsia="黑体" w:hAnsi="黑体" w:cs="Times New Roman" w:hint="eastAsia"/>
          <w:sz w:val="24"/>
          <w:szCs w:val="24"/>
        </w:rPr>
        <w:t>表</w:t>
      </w:r>
      <w:r w:rsidRPr="00E32B69">
        <w:rPr>
          <w:rFonts w:ascii="黑体" w:eastAsia="黑体" w:hAnsi="黑体" w:cs="Times New Roman"/>
          <w:sz w:val="24"/>
          <w:szCs w:val="24"/>
        </w:rPr>
        <w:fldChar w:fldCharType="begin"/>
      </w:r>
      <w:r w:rsidRPr="00E32B69">
        <w:rPr>
          <w:rFonts w:ascii="黑体" w:eastAsia="黑体" w:hAnsi="黑体" w:cs="Times New Roman"/>
          <w:sz w:val="24"/>
          <w:szCs w:val="24"/>
        </w:rPr>
        <w:instrText xml:space="preserve"> SEQ </w:instrText>
      </w:r>
      <w:r w:rsidRPr="00E32B69">
        <w:rPr>
          <w:rFonts w:ascii="黑体" w:eastAsia="黑体" w:hAnsi="黑体" w:cs="Times New Roman" w:hint="eastAsia"/>
          <w:sz w:val="24"/>
          <w:szCs w:val="24"/>
        </w:rPr>
        <w:instrText>表</w:instrText>
      </w:r>
      <w:r w:rsidRPr="00E32B69">
        <w:rPr>
          <w:rFonts w:ascii="黑体" w:eastAsia="黑体" w:hAnsi="黑体" w:cs="Times New Roman"/>
          <w:sz w:val="24"/>
          <w:szCs w:val="24"/>
        </w:rPr>
        <w:instrText xml:space="preserve"> \* ARABIC </w:instrText>
      </w:r>
      <w:r w:rsidRPr="00E32B69">
        <w:rPr>
          <w:rFonts w:ascii="黑体" w:eastAsia="黑体" w:hAnsi="黑体" w:cs="Times New Roman"/>
          <w:sz w:val="24"/>
          <w:szCs w:val="24"/>
        </w:rPr>
        <w:fldChar w:fldCharType="separate"/>
      </w:r>
      <w:r>
        <w:rPr>
          <w:rFonts w:ascii="黑体" w:eastAsia="黑体" w:hAnsi="黑体" w:cs="Times New Roman"/>
          <w:noProof/>
          <w:sz w:val="24"/>
          <w:szCs w:val="24"/>
        </w:rPr>
        <w:t>3</w:t>
      </w:r>
      <w:r w:rsidRPr="00E32B69">
        <w:rPr>
          <w:rFonts w:ascii="黑体" w:eastAsia="黑体" w:hAnsi="黑体" w:cs="Times New Roman"/>
          <w:sz w:val="24"/>
          <w:szCs w:val="24"/>
        </w:rPr>
        <w:fldChar w:fldCharType="end"/>
      </w:r>
      <w:r w:rsidRPr="00E32B69">
        <w:rPr>
          <w:rFonts w:ascii="黑体" w:eastAsia="黑体" w:hAnsi="黑体" w:cs="Times New Roman"/>
          <w:noProof/>
          <w:sz w:val="24"/>
          <w:szCs w:val="24"/>
        </w:rPr>
        <w:t xml:space="preserve"> </w:t>
      </w:r>
      <w:r w:rsidRPr="00E32B69">
        <w:rPr>
          <w:rFonts w:ascii="黑体" w:eastAsia="黑体" w:hAnsi="黑体" w:cs="Times New Roman" w:hint="eastAsia"/>
          <w:sz w:val="24"/>
          <w:szCs w:val="24"/>
        </w:rPr>
        <w:t>“三山五园”及西山历史文化带“十三五”时期重点产业空间载体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2692"/>
        <w:gridCol w:w="1836"/>
        <w:gridCol w:w="1258"/>
      </w:tblGrid>
      <w:tr w:rsidR="005D0DB1" w:rsidRPr="00CA5EFF" w:rsidTr="00176C27">
        <w:tc>
          <w:tcPr>
            <w:tcW w:w="1605" w:type="pct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核心组团</w:t>
            </w:r>
          </w:p>
        </w:tc>
        <w:tc>
          <w:tcPr>
            <w:tcW w:w="1580" w:type="pct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重要节点</w:t>
            </w:r>
          </w:p>
        </w:tc>
        <w:tc>
          <w:tcPr>
            <w:tcW w:w="1077" w:type="pct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重点产业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cs="宋体" w:hint="eastAsia"/>
                <w:kern w:val="0"/>
                <w:sz w:val="18"/>
                <w:szCs w:val="18"/>
              </w:rPr>
              <w:t>“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三山五园</w:t>
            </w:r>
            <w:r w:rsidRPr="00176C27">
              <w:rPr>
                <w:rFonts w:ascii="宋体" w:cs="宋体" w:hint="eastAsia"/>
                <w:kern w:val="0"/>
                <w:sz w:val="18"/>
                <w:szCs w:val="18"/>
              </w:rPr>
              <w:t>”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历史文化旅游组团</w:t>
            </w: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曹雪芹西山故里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香山公园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香山二十八景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园外园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玉泉山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颐和园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圆明园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西山国家森林公园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西山文化创意大道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“中间建筑”艺术区</w:t>
            </w:r>
          </w:p>
        </w:tc>
        <w:tc>
          <w:tcPr>
            <w:tcW w:w="738" w:type="pct"/>
            <w:noWrap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马奈草地</w:t>
            </w:r>
          </w:p>
        </w:tc>
        <w:tc>
          <w:tcPr>
            <w:tcW w:w="738" w:type="pct"/>
            <w:noWrap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坦博艺术中心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益园文化科技园区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西山生态文化休闲组团</w:t>
            </w:r>
          </w:p>
        </w:tc>
        <w:tc>
          <w:tcPr>
            <w:tcW w:w="1580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佛教文化旅游区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中国佛学院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龙泉寺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大西山</w:t>
            </w:r>
            <w:r w:rsidRPr="00176C27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南山观光体验区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凤凰岭景区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七王坟景区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阳台山鹫峰景区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大觉寺景区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中法文化交流区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圣</w:t>
            </w:r>
            <w:r w:rsidRPr="00176C27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琼·佩斯著诗处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贝家花园、贝大夫桥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故宫博物院北院区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文化旅游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生态科技农业拓展组团</w:t>
            </w: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上庄生态科技农业拓展区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生态农业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Del="00C6221D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苏家坨生态科技农业展示区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生态农业</w:t>
            </w:r>
          </w:p>
        </w:tc>
      </w:tr>
      <w:tr w:rsidR="005D0DB1" w:rsidRPr="00CA5EFF" w:rsidTr="00176C27">
        <w:trPr>
          <w:trHeight w:val="270"/>
        </w:trPr>
        <w:tc>
          <w:tcPr>
            <w:tcW w:w="1605" w:type="pct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一河十园农业休闲体验区</w:t>
            </w:r>
          </w:p>
        </w:tc>
        <w:tc>
          <w:tcPr>
            <w:tcW w:w="1077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38" w:type="pc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生态农业</w:t>
            </w:r>
          </w:p>
        </w:tc>
      </w:tr>
    </w:tbl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Pr="00A5723B" w:rsidRDefault="005D0DB1" w:rsidP="00156B2C">
      <w:pPr>
        <w:adjustRightInd w:val="0"/>
        <w:snapToGrid w:val="0"/>
        <w:spacing w:beforeLines="50" w:afterLines="50"/>
        <w:rPr>
          <w:rFonts w:ascii="黑体" w:eastAsia="黑体" w:hAnsi="黑体" w:cs="Times New Roman"/>
          <w:sz w:val="28"/>
          <w:szCs w:val="28"/>
        </w:rPr>
      </w:pPr>
      <w:r w:rsidRPr="00A5723B">
        <w:rPr>
          <w:rFonts w:ascii="黑体" w:eastAsia="黑体" w:hAnsi="黑体" w:cs="Times New Roman" w:hint="eastAsia"/>
          <w:sz w:val="28"/>
          <w:szCs w:val="28"/>
        </w:rPr>
        <w:t>附表</w:t>
      </w:r>
      <w:r w:rsidRPr="00A5723B">
        <w:rPr>
          <w:rFonts w:ascii="黑体" w:eastAsia="黑体" w:hAnsi="黑体" w:cs="Times New Roman"/>
          <w:sz w:val="28"/>
          <w:szCs w:val="28"/>
        </w:rPr>
        <w:t>4</w:t>
      </w:r>
    </w:p>
    <w:p w:rsidR="005D0DB1" w:rsidRPr="00AE55DD" w:rsidRDefault="005D0DB1" w:rsidP="00D33A23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AE55DD">
        <w:rPr>
          <w:rFonts w:ascii="黑体" w:eastAsia="黑体" w:hAnsi="黑体" w:cs="Times New Roman" w:hint="eastAsia"/>
          <w:sz w:val="24"/>
          <w:szCs w:val="24"/>
        </w:rPr>
        <w:t>表</w:t>
      </w:r>
      <w:r w:rsidRPr="00AE55DD">
        <w:rPr>
          <w:rFonts w:ascii="黑体" w:eastAsia="黑体" w:hAnsi="黑体" w:cs="Times New Roman"/>
          <w:sz w:val="24"/>
          <w:szCs w:val="24"/>
        </w:rPr>
        <w:fldChar w:fldCharType="begin"/>
      </w:r>
      <w:r w:rsidRPr="00AE55DD">
        <w:rPr>
          <w:rFonts w:ascii="黑体" w:eastAsia="黑体" w:hAnsi="黑体" w:cs="Times New Roman"/>
          <w:sz w:val="24"/>
          <w:szCs w:val="24"/>
        </w:rPr>
        <w:instrText xml:space="preserve"> SEQ </w:instrText>
      </w:r>
      <w:r w:rsidRPr="00AE55DD">
        <w:rPr>
          <w:rFonts w:ascii="黑体" w:eastAsia="黑体" w:hAnsi="黑体" w:cs="Times New Roman" w:hint="eastAsia"/>
          <w:sz w:val="24"/>
          <w:szCs w:val="24"/>
        </w:rPr>
        <w:instrText>表</w:instrText>
      </w:r>
      <w:r w:rsidRPr="00AE55DD">
        <w:rPr>
          <w:rFonts w:ascii="黑体" w:eastAsia="黑体" w:hAnsi="黑体" w:cs="Times New Roman"/>
          <w:sz w:val="24"/>
          <w:szCs w:val="24"/>
        </w:rPr>
        <w:instrText xml:space="preserve"> \* ARABIC </w:instrText>
      </w:r>
      <w:r w:rsidRPr="00AE55DD">
        <w:rPr>
          <w:rFonts w:ascii="黑体" w:eastAsia="黑体" w:hAnsi="黑体" w:cs="Times New Roman"/>
          <w:sz w:val="24"/>
          <w:szCs w:val="24"/>
        </w:rPr>
        <w:fldChar w:fldCharType="separate"/>
      </w:r>
      <w:r>
        <w:rPr>
          <w:rFonts w:ascii="黑体" w:eastAsia="黑体" w:hAnsi="黑体" w:cs="Times New Roman"/>
          <w:noProof/>
          <w:sz w:val="24"/>
          <w:szCs w:val="24"/>
        </w:rPr>
        <w:t>4</w:t>
      </w:r>
      <w:r w:rsidRPr="00AE55DD">
        <w:rPr>
          <w:rFonts w:ascii="黑体" w:eastAsia="黑体" w:hAnsi="黑体" w:cs="Times New Roman"/>
          <w:sz w:val="24"/>
          <w:szCs w:val="24"/>
        </w:rPr>
        <w:fldChar w:fldCharType="end"/>
      </w:r>
      <w:r w:rsidRPr="00AE55DD">
        <w:rPr>
          <w:rFonts w:ascii="黑体" w:eastAsia="黑体" w:hAnsi="黑体" w:cs="Times New Roman"/>
          <w:sz w:val="24"/>
          <w:szCs w:val="24"/>
        </w:rPr>
        <w:t xml:space="preserve"> </w:t>
      </w:r>
      <w:r w:rsidRPr="00AE55DD">
        <w:rPr>
          <w:rFonts w:ascii="黑体" w:eastAsia="黑体" w:hAnsi="黑体" w:cs="Times New Roman" w:hint="eastAsia"/>
          <w:sz w:val="24"/>
          <w:szCs w:val="24"/>
        </w:rPr>
        <w:t>北部生态科技创新发展带“十三五”时期重点产业空间载体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27"/>
        <w:gridCol w:w="3118"/>
        <w:gridCol w:w="1809"/>
      </w:tblGrid>
      <w:tr w:rsidR="005D0DB1" w:rsidRPr="00CA5EFF" w:rsidTr="00176C27">
        <w:tc>
          <w:tcPr>
            <w:tcW w:w="1242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核心组团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重要节点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重点产业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大上地创新功能组团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中关村软件园二期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联想总部（北京）园区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软件与信息服务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百度科技园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软件与信息服务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腾讯总部（北京）大楼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软件与信息服务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全国</w:t>
            </w:r>
            <w:r w:rsidRPr="00176C27">
              <w:rPr>
                <w:kern w:val="0"/>
                <w:sz w:val="18"/>
                <w:szCs w:val="18"/>
              </w:rPr>
              <w:t>IT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服务外包市场中心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软件与信息服务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北京文化创意高科技产业化基地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文化创意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b/>
                <w:color w:val="365F91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大上地商圈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现代商业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唐家岭盛景创业园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永丰创新功能组团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中关村永丰产业基地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气象园项目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卫星导航及空间信息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中关村壹号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航天城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航空航天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中关村集成电路设计园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集成电路设计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新技术成果转移科技研发中心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大唐电信北京科研中心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软件与信息服务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北斗与空间信息服务产业区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北斗及空间信息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中航工业航材院永丰园区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航空航天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新能源新材料与节能环保产业区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新材料、新能源与节能环保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唐家岭盛景创业园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永丰商圈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现代商业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西北旺农业休闲体验区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休闲农业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西北旺镇一镇一园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翠湖创新功能组团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中关村创新园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纳通科技集团总部基地项目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生物医药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大北农生物农业项目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生物医药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生物工程与新医药产业区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生物医药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稻香湖商圈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商贸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中关村环保园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中国人寿项目一期、二期项目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科技金融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华为项目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智能制造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证券期货信息产业基地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科技金融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移动互联网与下一代互联网产业区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移动互联网与下一代互联网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云计算产业区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云计算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苏家坨一镇一园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北京协同创新园项目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温泉镇一镇一园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--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云计算、移动互联网与下一代互联网</w:t>
            </w:r>
          </w:p>
        </w:tc>
      </w:tr>
      <w:tr w:rsidR="005D0DB1" w:rsidRPr="00CA5EFF" w:rsidTr="00176C27">
        <w:trPr>
          <w:trHeight w:val="270"/>
        </w:trPr>
        <w:tc>
          <w:tcPr>
            <w:tcW w:w="1242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上庄镇一镇一园</w:t>
            </w:r>
          </w:p>
        </w:tc>
        <w:tc>
          <w:tcPr>
            <w:tcW w:w="3118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--</w:t>
            </w:r>
          </w:p>
        </w:tc>
        <w:tc>
          <w:tcPr>
            <w:tcW w:w="1809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</w:tbl>
    <w:p w:rsidR="005D0DB1" w:rsidRDefault="005D0DB1" w:rsidP="002239CD">
      <w:pPr>
        <w:spacing w:line="560" w:lineRule="exact"/>
        <w:rPr>
          <w:rFonts w:ascii="仿宋_GB2312" w:eastAsia="仿宋_GB2312" w:hAnsi="仿宋" w:cs="Times New Roman"/>
          <w:kern w:val="0"/>
          <w:sz w:val="18"/>
          <w:szCs w:val="18"/>
        </w:rPr>
      </w:pPr>
    </w:p>
    <w:p w:rsidR="005D0DB1" w:rsidRPr="0066338E" w:rsidRDefault="005D0DB1" w:rsidP="00156B2C">
      <w:pPr>
        <w:adjustRightInd w:val="0"/>
        <w:snapToGrid w:val="0"/>
        <w:spacing w:beforeLines="50" w:afterLines="50"/>
        <w:rPr>
          <w:rFonts w:ascii="黑体" w:eastAsia="黑体" w:hAnsi="黑体" w:cs="Times New Roman"/>
          <w:sz w:val="28"/>
          <w:szCs w:val="28"/>
        </w:rPr>
      </w:pPr>
      <w:r w:rsidRPr="0066338E">
        <w:rPr>
          <w:rFonts w:ascii="黑体" w:eastAsia="黑体" w:hAnsi="黑体" w:cs="Times New Roman" w:hint="eastAsia"/>
          <w:sz w:val="28"/>
          <w:szCs w:val="28"/>
        </w:rPr>
        <w:t>附表</w:t>
      </w:r>
      <w:r w:rsidRPr="0066338E">
        <w:rPr>
          <w:rFonts w:ascii="黑体" w:eastAsia="黑体" w:hAnsi="黑体" w:cs="Times New Roman"/>
          <w:sz w:val="28"/>
          <w:szCs w:val="28"/>
        </w:rPr>
        <w:t>5</w:t>
      </w:r>
    </w:p>
    <w:p w:rsidR="005D0DB1" w:rsidRPr="00586F87" w:rsidRDefault="005D0DB1" w:rsidP="00F145AB">
      <w:pPr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586F87">
        <w:rPr>
          <w:rFonts w:ascii="黑体" w:eastAsia="黑体" w:hAnsi="黑体" w:cs="Times New Roman" w:hint="eastAsia"/>
          <w:sz w:val="24"/>
          <w:szCs w:val="24"/>
        </w:rPr>
        <w:t>表</w:t>
      </w:r>
      <w:r w:rsidRPr="00586F87">
        <w:rPr>
          <w:rFonts w:ascii="黑体" w:eastAsia="黑体" w:hAnsi="黑体" w:cs="Times New Roman"/>
          <w:sz w:val="24"/>
          <w:szCs w:val="24"/>
        </w:rPr>
        <w:fldChar w:fldCharType="begin"/>
      </w:r>
      <w:r w:rsidRPr="00586F87">
        <w:rPr>
          <w:rFonts w:ascii="黑体" w:eastAsia="黑体" w:hAnsi="黑体" w:cs="Times New Roman"/>
          <w:sz w:val="24"/>
          <w:szCs w:val="24"/>
        </w:rPr>
        <w:instrText xml:space="preserve"> SEQ </w:instrText>
      </w:r>
      <w:r w:rsidRPr="00586F87">
        <w:rPr>
          <w:rFonts w:ascii="黑体" w:eastAsia="黑体" w:hAnsi="黑体" w:cs="Times New Roman" w:hint="eastAsia"/>
          <w:sz w:val="24"/>
          <w:szCs w:val="24"/>
        </w:rPr>
        <w:instrText>表</w:instrText>
      </w:r>
      <w:r w:rsidRPr="00586F87">
        <w:rPr>
          <w:rFonts w:ascii="黑体" w:eastAsia="黑体" w:hAnsi="黑体" w:cs="Times New Roman"/>
          <w:sz w:val="24"/>
          <w:szCs w:val="24"/>
        </w:rPr>
        <w:instrText xml:space="preserve"> \* ARABIC </w:instrText>
      </w:r>
      <w:r w:rsidRPr="00586F87">
        <w:rPr>
          <w:rFonts w:ascii="黑体" w:eastAsia="黑体" w:hAnsi="黑体" w:cs="Times New Roman"/>
          <w:sz w:val="24"/>
          <w:szCs w:val="24"/>
        </w:rPr>
        <w:fldChar w:fldCharType="separate"/>
      </w:r>
      <w:r>
        <w:rPr>
          <w:rFonts w:ascii="黑体" w:eastAsia="黑体" w:hAnsi="黑体" w:cs="Times New Roman"/>
          <w:noProof/>
          <w:sz w:val="24"/>
          <w:szCs w:val="24"/>
        </w:rPr>
        <w:t>5</w:t>
      </w:r>
      <w:r w:rsidRPr="00586F87">
        <w:rPr>
          <w:rFonts w:ascii="黑体" w:eastAsia="黑体" w:hAnsi="黑体" w:cs="Times New Roman"/>
          <w:sz w:val="24"/>
          <w:szCs w:val="24"/>
        </w:rPr>
        <w:fldChar w:fldCharType="end"/>
      </w:r>
      <w:r w:rsidRPr="00586F87">
        <w:rPr>
          <w:rFonts w:ascii="黑体" w:eastAsia="黑体" w:hAnsi="黑体" w:cs="Times New Roman"/>
          <w:sz w:val="24"/>
          <w:szCs w:val="24"/>
        </w:rPr>
        <w:t xml:space="preserve"> </w:t>
      </w:r>
      <w:r w:rsidRPr="00586F87">
        <w:rPr>
          <w:rFonts w:ascii="黑体" w:eastAsia="黑体" w:hAnsi="黑体" w:cs="Times New Roman" w:hint="eastAsia"/>
          <w:sz w:val="24"/>
          <w:szCs w:val="24"/>
        </w:rPr>
        <w:t>东部城市功能优化发展带“十三五”时期重点产业空间载体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552"/>
        <w:gridCol w:w="2835"/>
        <w:gridCol w:w="1525"/>
      </w:tblGrid>
      <w:tr w:rsidR="005D0DB1" w:rsidRPr="00CA5EFF" w:rsidTr="00176C27">
        <w:tc>
          <w:tcPr>
            <w:tcW w:w="1384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核心组团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重要节点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重点项目</w:t>
            </w:r>
          </w:p>
        </w:tc>
        <w:tc>
          <w:tcPr>
            <w:tcW w:w="1525" w:type="dxa"/>
            <w:shd w:val="clear" w:color="auto" w:fill="F2F2F2"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重点产业</w:t>
            </w:r>
          </w:p>
        </w:tc>
      </w:tr>
      <w:tr w:rsidR="005D0DB1" w:rsidRPr="00CA5EFF" w:rsidTr="00176C27">
        <w:trPr>
          <w:trHeight w:val="480"/>
        </w:trPr>
        <w:tc>
          <w:tcPr>
            <w:tcW w:w="1384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清河</w:t>
            </w:r>
            <w:r w:rsidRPr="00176C27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西三旗创新功能组团</w:t>
            </w:r>
          </w:p>
        </w:tc>
        <w:tc>
          <w:tcPr>
            <w:tcW w:w="255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中关村西三旗金隅科技园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智能制造</w:t>
            </w:r>
          </w:p>
        </w:tc>
      </w:tr>
      <w:tr w:rsidR="005D0DB1" w:rsidRPr="00CA5EFF" w:rsidTr="00176C27">
        <w:trPr>
          <w:trHeight w:val="134"/>
        </w:trPr>
        <w:tc>
          <w:tcPr>
            <w:tcW w:w="1384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西三旗金隅天坛智能制造创新园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hAnsi="Cambria" w:cs="Times New Roman"/>
                <w:b/>
                <w:color w:val="365F91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Del="00882413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智能制造</w:t>
            </w:r>
          </w:p>
        </w:tc>
      </w:tr>
      <w:tr w:rsidR="005D0DB1" w:rsidRPr="00CA5EFF" w:rsidTr="00176C27">
        <w:trPr>
          <w:trHeight w:val="270"/>
        </w:trPr>
        <w:tc>
          <w:tcPr>
            <w:tcW w:w="1384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中关村东升科技园二期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  <w:tr w:rsidR="005D0DB1" w:rsidRPr="00CA5EFF" w:rsidTr="00176C27">
        <w:trPr>
          <w:trHeight w:val="270"/>
        </w:trPr>
        <w:tc>
          <w:tcPr>
            <w:tcW w:w="1384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五彩城商圈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现代商业</w:t>
            </w:r>
          </w:p>
        </w:tc>
      </w:tr>
      <w:tr w:rsidR="005D0DB1" w:rsidRPr="00CA5EFF" w:rsidTr="00176C27">
        <w:trPr>
          <w:trHeight w:val="270"/>
        </w:trPr>
        <w:tc>
          <w:tcPr>
            <w:tcW w:w="1384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小米移动互联网产业园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384" w:type="dxa"/>
            <w:vMerge/>
            <w:noWrap/>
            <w:vAlign w:val="center"/>
          </w:tcPr>
          <w:p w:rsidR="005D0DB1" w:rsidRPr="00176C27" w:rsidRDefault="005D0DB1" w:rsidP="00176C27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ascii="宋体" w:hAnsi="宋体" w:cs="宋体" w:hint="eastAsia"/>
                <w:kern w:val="0"/>
                <w:sz w:val="18"/>
                <w:szCs w:val="18"/>
              </w:rPr>
              <w:t>首农中关村移动智能服务创新园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科技创新</w:t>
            </w:r>
          </w:p>
        </w:tc>
      </w:tr>
      <w:tr w:rsidR="005D0DB1" w:rsidRPr="00CA5EFF" w:rsidTr="00176C27">
        <w:trPr>
          <w:trHeight w:val="270"/>
        </w:trPr>
        <w:tc>
          <w:tcPr>
            <w:tcW w:w="1384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东升</w:t>
            </w:r>
            <w:r w:rsidRPr="00176C27">
              <w:rPr>
                <w:kern w:val="0"/>
                <w:sz w:val="18"/>
                <w:szCs w:val="18"/>
              </w:rPr>
              <w:t>-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小月河创新功能组团</w:t>
            </w:r>
          </w:p>
        </w:tc>
        <w:tc>
          <w:tcPr>
            <w:tcW w:w="2552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东升</w:t>
            </w:r>
            <w:r w:rsidRPr="00176C27">
              <w:rPr>
                <w:kern w:val="0"/>
                <w:sz w:val="18"/>
                <w:szCs w:val="18"/>
              </w:rPr>
              <w:t>-</w:t>
            </w:r>
            <w:r w:rsidRPr="00176C27">
              <w:rPr>
                <w:rFonts w:hint="eastAsia"/>
                <w:kern w:val="0"/>
                <w:sz w:val="18"/>
                <w:szCs w:val="18"/>
              </w:rPr>
              <w:t>小月河科技服务产业区</w:t>
            </w:r>
          </w:p>
        </w:tc>
        <w:tc>
          <w:tcPr>
            <w:tcW w:w="283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小月河科技园京昌路楔形绿地</w:t>
            </w:r>
          </w:p>
        </w:tc>
        <w:tc>
          <w:tcPr>
            <w:tcW w:w="1525" w:type="dxa"/>
            <w:noWrap/>
            <w:vAlign w:val="center"/>
          </w:tcPr>
          <w:p w:rsidR="005D0DB1" w:rsidRPr="00176C27" w:rsidRDefault="005D0DB1" w:rsidP="00176C27">
            <w:pPr>
              <w:jc w:val="center"/>
              <w:rPr>
                <w:kern w:val="0"/>
                <w:sz w:val="18"/>
                <w:szCs w:val="18"/>
              </w:rPr>
            </w:pPr>
            <w:r w:rsidRPr="00176C27">
              <w:rPr>
                <w:rFonts w:hint="eastAsia"/>
                <w:kern w:val="0"/>
                <w:sz w:val="18"/>
                <w:szCs w:val="18"/>
              </w:rPr>
              <w:t>科技服务</w:t>
            </w:r>
          </w:p>
        </w:tc>
      </w:tr>
    </w:tbl>
    <w:p w:rsidR="005D0DB1" w:rsidRPr="00B03E36" w:rsidRDefault="005D0DB1"/>
    <w:sectPr w:rsidR="005D0DB1" w:rsidRPr="00B03E36" w:rsidSect="002668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B1" w:rsidRDefault="005D0DB1" w:rsidP="002C4556">
      <w:r>
        <w:separator/>
      </w:r>
    </w:p>
  </w:endnote>
  <w:endnote w:type="continuationSeparator" w:id="0">
    <w:p w:rsidR="005D0DB1" w:rsidRDefault="005D0DB1" w:rsidP="002C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1" w:rsidRDefault="005D0DB1">
    <w:pPr>
      <w:pStyle w:val="Footer"/>
      <w:jc w:val="center"/>
    </w:pPr>
    <w:fldSimple w:instr="PAGE   \* MERGEFORMAT">
      <w:r w:rsidRPr="00156B2C">
        <w:rPr>
          <w:noProof/>
          <w:lang w:val="zh-CN"/>
        </w:rPr>
        <w:t>1</w:t>
      </w:r>
    </w:fldSimple>
  </w:p>
  <w:p w:rsidR="005D0DB1" w:rsidRDefault="005D0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B1" w:rsidRDefault="005D0DB1" w:rsidP="002C4556">
      <w:r>
        <w:separator/>
      </w:r>
    </w:p>
  </w:footnote>
  <w:footnote w:type="continuationSeparator" w:id="0">
    <w:p w:rsidR="005D0DB1" w:rsidRDefault="005D0DB1" w:rsidP="002C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E36"/>
    <w:rsid w:val="0001071E"/>
    <w:rsid w:val="00031BBB"/>
    <w:rsid w:val="00034324"/>
    <w:rsid w:val="000D60B0"/>
    <w:rsid w:val="000E6777"/>
    <w:rsid w:val="000E79E8"/>
    <w:rsid w:val="000F5F8B"/>
    <w:rsid w:val="00101DA9"/>
    <w:rsid w:val="001063DD"/>
    <w:rsid w:val="00110331"/>
    <w:rsid w:val="00110550"/>
    <w:rsid w:val="00117630"/>
    <w:rsid w:val="00156B2C"/>
    <w:rsid w:val="00176C27"/>
    <w:rsid w:val="001B57F2"/>
    <w:rsid w:val="001C162A"/>
    <w:rsid w:val="001D07FC"/>
    <w:rsid w:val="001D2436"/>
    <w:rsid w:val="001E390D"/>
    <w:rsid w:val="001E3A6A"/>
    <w:rsid w:val="002239CD"/>
    <w:rsid w:val="00223F6E"/>
    <w:rsid w:val="002262E0"/>
    <w:rsid w:val="0025063B"/>
    <w:rsid w:val="0026683A"/>
    <w:rsid w:val="0029708F"/>
    <w:rsid w:val="002A6479"/>
    <w:rsid w:val="002C4556"/>
    <w:rsid w:val="002C58F0"/>
    <w:rsid w:val="002C6527"/>
    <w:rsid w:val="002F57CC"/>
    <w:rsid w:val="00321FD4"/>
    <w:rsid w:val="00343D29"/>
    <w:rsid w:val="0039491A"/>
    <w:rsid w:val="003B1D6E"/>
    <w:rsid w:val="003D29B6"/>
    <w:rsid w:val="003F04B5"/>
    <w:rsid w:val="00402ED4"/>
    <w:rsid w:val="004032AF"/>
    <w:rsid w:val="00433A7A"/>
    <w:rsid w:val="00450FF9"/>
    <w:rsid w:val="00475398"/>
    <w:rsid w:val="004769B2"/>
    <w:rsid w:val="00496529"/>
    <w:rsid w:val="004A3672"/>
    <w:rsid w:val="004E11B4"/>
    <w:rsid w:val="004E3B73"/>
    <w:rsid w:val="004E43CA"/>
    <w:rsid w:val="005101CE"/>
    <w:rsid w:val="00525392"/>
    <w:rsid w:val="00526A36"/>
    <w:rsid w:val="00526D59"/>
    <w:rsid w:val="0055108A"/>
    <w:rsid w:val="00586F87"/>
    <w:rsid w:val="005872D0"/>
    <w:rsid w:val="00597E79"/>
    <w:rsid w:val="005A00DB"/>
    <w:rsid w:val="005B58D2"/>
    <w:rsid w:val="005C3A95"/>
    <w:rsid w:val="005D0DB1"/>
    <w:rsid w:val="00622893"/>
    <w:rsid w:val="00622BA6"/>
    <w:rsid w:val="00624486"/>
    <w:rsid w:val="00642C74"/>
    <w:rsid w:val="006565DF"/>
    <w:rsid w:val="0066338E"/>
    <w:rsid w:val="00682270"/>
    <w:rsid w:val="006D03D1"/>
    <w:rsid w:val="006E0E8D"/>
    <w:rsid w:val="007071EC"/>
    <w:rsid w:val="0071363E"/>
    <w:rsid w:val="00733BFC"/>
    <w:rsid w:val="00744C0B"/>
    <w:rsid w:val="007704BC"/>
    <w:rsid w:val="0079338D"/>
    <w:rsid w:val="00794D15"/>
    <w:rsid w:val="007A6632"/>
    <w:rsid w:val="007A7108"/>
    <w:rsid w:val="007D300B"/>
    <w:rsid w:val="007F4847"/>
    <w:rsid w:val="008176FE"/>
    <w:rsid w:val="00825297"/>
    <w:rsid w:val="008314F9"/>
    <w:rsid w:val="0087325B"/>
    <w:rsid w:val="00882413"/>
    <w:rsid w:val="008B0C60"/>
    <w:rsid w:val="008C2243"/>
    <w:rsid w:val="00931E7D"/>
    <w:rsid w:val="00940347"/>
    <w:rsid w:val="00943099"/>
    <w:rsid w:val="0094649B"/>
    <w:rsid w:val="00980F42"/>
    <w:rsid w:val="00987BFD"/>
    <w:rsid w:val="009A7253"/>
    <w:rsid w:val="00A505A3"/>
    <w:rsid w:val="00A52C45"/>
    <w:rsid w:val="00A5723B"/>
    <w:rsid w:val="00A807CA"/>
    <w:rsid w:val="00A85927"/>
    <w:rsid w:val="00AB37FE"/>
    <w:rsid w:val="00AE55DD"/>
    <w:rsid w:val="00AE7AE8"/>
    <w:rsid w:val="00AF3FEB"/>
    <w:rsid w:val="00B0136F"/>
    <w:rsid w:val="00B03E36"/>
    <w:rsid w:val="00B10B57"/>
    <w:rsid w:val="00B153DB"/>
    <w:rsid w:val="00B345D8"/>
    <w:rsid w:val="00B356D6"/>
    <w:rsid w:val="00B416F1"/>
    <w:rsid w:val="00B45884"/>
    <w:rsid w:val="00B73CD4"/>
    <w:rsid w:val="00B749B5"/>
    <w:rsid w:val="00B97D31"/>
    <w:rsid w:val="00BC2D7C"/>
    <w:rsid w:val="00C22E06"/>
    <w:rsid w:val="00C34CC8"/>
    <w:rsid w:val="00C42190"/>
    <w:rsid w:val="00C4502C"/>
    <w:rsid w:val="00C6221D"/>
    <w:rsid w:val="00CA5EFF"/>
    <w:rsid w:val="00CB2D1B"/>
    <w:rsid w:val="00D01EC1"/>
    <w:rsid w:val="00D17E9D"/>
    <w:rsid w:val="00D33A23"/>
    <w:rsid w:val="00DA592A"/>
    <w:rsid w:val="00DB52FA"/>
    <w:rsid w:val="00DC0A77"/>
    <w:rsid w:val="00DC7AFE"/>
    <w:rsid w:val="00DE7500"/>
    <w:rsid w:val="00E265A5"/>
    <w:rsid w:val="00E32B69"/>
    <w:rsid w:val="00E3361B"/>
    <w:rsid w:val="00E52383"/>
    <w:rsid w:val="00E93913"/>
    <w:rsid w:val="00EB3CE4"/>
    <w:rsid w:val="00EC3654"/>
    <w:rsid w:val="00EE2C0F"/>
    <w:rsid w:val="00EF6E8E"/>
    <w:rsid w:val="00F145AB"/>
    <w:rsid w:val="00F3797B"/>
    <w:rsid w:val="00F51618"/>
    <w:rsid w:val="00F65179"/>
    <w:rsid w:val="00F77515"/>
    <w:rsid w:val="00F77E93"/>
    <w:rsid w:val="00FD3D2A"/>
    <w:rsid w:val="00F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4556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C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4556"/>
    <w:rPr>
      <w:rFonts w:ascii="Calibri" w:eastAsia="宋体" w:hAnsi="Calibri" w:cs="Calibri"/>
      <w:sz w:val="18"/>
      <w:szCs w:val="18"/>
    </w:rPr>
  </w:style>
  <w:style w:type="table" w:styleId="TableGrid">
    <w:name w:val="Table Grid"/>
    <w:aliases w:val="新建liurui的格式"/>
    <w:basedOn w:val="TableNormal"/>
    <w:uiPriority w:val="99"/>
    <w:rsid w:val="002239C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~表格文字1"/>
    <w:basedOn w:val="Normal"/>
    <w:link w:val="1Char"/>
    <w:uiPriority w:val="99"/>
    <w:rsid w:val="002239CD"/>
    <w:pPr>
      <w:widowControl/>
      <w:jc w:val="center"/>
    </w:pPr>
    <w:rPr>
      <w:rFonts w:ascii="Times New Roman" w:eastAsia="仿宋_GB2312" w:hAnsi="Times New Roman" w:cs="Times New Roman"/>
      <w:bCs/>
      <w:iCs/>
      <w:color w:val="000000"/>
      <w:kern w:val="0"/>
      <w:sz w:val="24"/>
      <w:szCs w:val="24"/>
    </w:rPr>
  </w:style>
  <w:style w:type="character" w:customStyle="1" w:styleId="1Char">
    <w:name w:val="~表格文字1 Char"/>
    <w:link w:val="1"/>
    <w:uiPriority w:val="99"/>
    <w:locked/>
    <w:rsid w:val="002239CD"/>
    <w:rPr>
      <w:rFonts w:ascii="Times New Roman" w:eastAsia="仿宋_GB2312" w:hAnsi="Times New Roman"/>
      <w:color w:val="000000"/>
      <w:kern w:val="0"/>
      <w:sz w:val="24"/>
    </w:rPr>
  </w:style>
  <w:style w:type="paragraph" w:customStyle="1" w:styleId="a">
    <w:name w:val="~表标题"/>
    <w:basedOn w:val="Normal"/>
    <w:link w:val="Char"/>
    <w:uiPriority w:val="99"/>
    <w:rsid w:val="002239CD"/>
    <w:pPr>
      <w:adjustRightInd w:val="0"/>
      <w:snapToGrid w:val="0"/>
      <w:spacing w:beforeLines="50" w:afterLines="50"/>
      <w:ind w:firstLineChars="200" w:firstLine="480"/>
      <w:jc w:val="center"/>
    </w:pPr>
    <w:rPr>
      <w:rFonts w:ascii="黑体" w:eastAsia="黑体" w:hAnsi="黑体" w:cs="Times New Roman"/>
      <w:sz w:val="24"/>
      <w:szCs w:val="24"/>
    </w:rPr>
  </w:style>
  <w:style w:type="character" w:customStyle="1" w:styleId="Char">
    <w:name w:val="~表标题 Char"/>
    <w:basedOn w:val="DefaultParagraphFont"/>
    <w:link w:val="a"/>
    <w:uiPriority w:val="99"/>
    <w:locked/>
    <w:rsid w:val="002239CD"/>
    <w:rPr>
      <w:rFonts w:ascii="黑体" w:eastAsia="黑体" w:hAnsi="黑体" w:cs="Times New Roman"/>
      <w:sz w:val="24"/>
      <w:szCs w:val="24"/>
    </w:rPr>
  </w:style>
  <w:style w:type="table" w:customStyle="1" w:styleId="liurui1">
    <w:name w:val="新建liurui的格式1"/>
    <w:uiPriority w:val="99"/>
    <w:locked/>
    <w:rsid w:val="002239CD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urui2">
    <w:name w:val="新建liurui的格式2"/>
    <w:uiPriority w:val="99"/>
    <w:locked/>
    <w:rsid w:val="002239CD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urui3">
    <w:name w:val="新建liurui的格式3"/>
    <w:uiPriority w:val="99"/>
    <w:locked/>
    <w:rsid w:val="002239CD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6D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D5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17</Pages>
  <Words>1325</Words>
  <Characters>7553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王鲁豫</cp:lastModifiedBy>
  <cp:revision>89</cp:revision>
  <cp:lastPrinted>2016-09-08T06:59:00Z</cp:lastPrinted>
  <dcterms:created xsi:type="dcterms:W3CDTF">2016-09-06T09:23:00Z</dcterms:created>
  <dcterms:modified xsi:type="dcterms:W3CDTF">2016-12-20T03:21:00Z</dcterms:modified>
</cp:coreProperties>
</file>