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F64" w:rsidRDefault="00007F64" w:rsidP="006D4FBC">
      <w:pPr>
        <w:pStyle w:val="BodyTextIndent"/>
        <w:adjustRightInd w:val="0"/>
        <w:snapToGrid w:val="0"/>
        <w:spacing w:line="560" w:lineRule="exact"/>
        <w:ind w:firstLineChars="0" w:firstLine="0"/>
        <w:jc w:val="center"/>
        <w:rPr>
          <w:rFonts w:ascii="方正小标宋简体" w:eastAsia="方正小标宋简体" w:hAnsi="华文中宋"/>
          <w:kern w:val="0"/>
          <w:sz w:val="44"/>
          <w:szCs w:val="44"/>
        </w:rPr>
      </w:pPr>
      <w:r>
        <w:rPr>
          <w:rFonts w:ascii="方正小标宋简体" w:eastAsia="方正小标宋简体" w:hAnsi="华文中宋" w:hint="eastAsia"/>
          <w:kern w:val="0"/>
          <w:sz w:val="44"/>
          <w:szCs w:val="44"/>
        </w:rPr>
        <w:t>海淀区人民检察院关于司法体制改革试点工作情况的报告</w:t>
      </w:r>
    </w:p>
    <w:p w:rsidR="00007F64" w:rsidRDefault="00007F64" w:rsidP="006D4FBC">
      <w:pPr>
        <w:adjustRightInd w:val="0"/>
        <w:snapToGrid w:val="0"/>
        <w:spacing w:line="560" w:lineRule="exact"/>
        <w:jc w:val="center"/>
        <w:rPr>
          <w:rFonts w:ascii="仿宋_GB2312" w:eastAsia="仿宋_GB2312"/>
          <w:spacing w:val="24"/>
          <w:sz w:val="32"/>
          <w:szCs w:val="32"/>
        </w:rPr>
      </w:pPr>
      <w:r>
        <w:rPr>
          <w:rFonts w:ascii="仿宋_GB2312" w:eastAsia="仿宋_GB2312"/>
          <w:spacing w:val="24"/>
          <w:sz w:val="32"/>
          <w:szCs w:val="32"/>
        </w:rPr>
        <w:t>——</w:t>
      </w:r>
      <w:r>
        <w:rPr>
          <w:rFonts w:ascii="仿宋_GB2312" w:eastAsia="仿宋_GB2312" w:hAnsi="Courier New" w:cs="Courier New"/>
          <w:kern w:val="0"/>
          <w:sz w:val="32"/>
          <w:szCs w:val="32"/>
        </w:rPr>
        <w:t>2016</w:t>
      </w:r>
      <w:r>
        <w:rPr>
          <w:rFonts w:ascii="仿宋_GB2312" w:eastAsia="仿宋_GB2312" w:hint="eastAsia"/>
          <w:spacing w:val="24"/>
          <w:sz w:val="32"/>
          <w:szCs w:val="32"/>
        </w:rPr>
        <w:t>年</w:t>
      </w:r>
      <w:r>
        <w:rPr>
          <w:rFonts w:ascii="仿宋_GB2312" w:eastAsia="仿宋_GB2312" w:hAnsi="Courier New" w:cs="Courier New"/>
          <w:kern w:val="0"/>
          <w:sz w:val="32"/>
          <w:szCs w:val="32"/>
        </w:rPr>
        <w:t>4</w:t>
      </w:r>
      <w:r>
        <w:rPr>
          <w:rFonts w:ascii="仿宋_GB2312" w:eastAsia="仿宋_GB2312" w:hint="eastAsia"/>
          <w:spacing w:val="24"/>
          <w:sz w:val="32"/>
          <w:szCs w:val="32"/>
        </w:rPr>
        <w:t>月</w:t>
      </w:r>
      <w:r>
        <w:rPr>
          <w:rFonts w:ascii="仿宋_GB2312" w:eastAsia="仿宋_GB2312" w:hAnsi="Courier New" w:cs="Courier New"/>
          <w:kern w:val="0"/>
          <w:sz w:val="32"/>
          <w:szCs w:val="32"/>
        </w:rPr>
        <w:t>19</w:t>
      </w:r>
      <w:r>
        <w:rPr>
          <w:rFonts w:ascii="仿宋_GB2312" w:eastAsia="仿宋_GB2312" w:hint="eastAsia"/>
          <w:spacing w:val="24"/>
          <w:sz w:val="32"/>
          <w:szCs w:val="32"/>
        </w:rPr>
        <w:t>日在海淀区第十五届人大常委会</w:t>
      </w:r>
    </w:p>
    <w:p w:rsidR="00007F64" w:rsidRDefault="00007F64" w:rsidP="006D4FBC">
      <w:pPr>
        <w:adjustRightInd w:val="0"/>
        <w:snapToGrid w:val="0"/>
        <w:spacing w:line="560" w:lineRule="exact"/>
        <w:jc w:val="center"/>
        <w:rPr>
          <w:rFonts w:ascii="仿宋_GB2312" w:eastAsia="仿宋_GB2312"/>
          <w:spacing w:val="24"/>
          <w:sz w:val="32"/>
          <w:szCs w:val="32"/>
        </w:rPr>
      </w:pPr>
      <w:r>
        <w:rPr>
          <w:rFonts w:ascii="仿宋_GB2312" w:eastAsia="仿宋_GB2312" w:hint="eastAsia"/>
          <w:spacing w:val="24"/>
          <w:sz w:val="32"/>
          <w:szCs w:val="32"/>
        </w:rPr>
        <w:t>第</w:t>
      </w:r>
      <w:r>
        <w:rPr>
          <w:rFonts w:ascii="仿宋_GB2312" w:eastAsia="仿宋_GB2312" w:hAnsi="Courier New" w:cs="Courier New" w:hint="eastAsia"/>
          <w:kern w:val="0"/>
          <w:sz w:val="32"/>
          <w:szCs w:val="32"/>
        </w:rPr>
        <w:t>三十二</w:t>
      </w:r>
      <w:r>
        <w:rPr>
          <w:rFonts w:ascii="仿宋_GB2312" w:eastAsia="仿宋_GB2312" w:hint="eastAsia"/>
          <w:spacing w:val="24"/>
          <w:sz w:val="32"/>
          <w:szCs w:val="32"/>
        </w:rPr>
        <w:t>次会议上</w:t>
      </w:r>
    </w:p>
    <w:p w:rsidR="00007F64" w:rsidRDefault="00007F64" w:rsidP="006D4FBC">
      <w:pPr>
        <w:adjustRightInd w:val="0"/>
        <w:snapToGrid w:val="0"/>
        <w:spacing w:line="560" w:lineRule="exact"/>
        <w:rPr>
          <w:rFonts w:ascii="仿宋_GB2312" w:eastAsia="仿宋_GB2312"/>
          <w:spacing w:val="4"/>
          <w:sz w:val="32"/>
        </w:rPr>
      </w:pPr>
    </w:p>
    <w:p w:rsidR="00007F64" w:rsidRDefault="00007F64" w:rsidP="006D4FBC">
      <w:pPr>
        <w:adjustRightInd w:val="0"/>
        <w:snapToGrid w:val="0"/>
        <w:spacing w:line="560" w:lineRule="exact"/>
        <w:jc w:val="center"/>
        <w:rPr>
          <w:rFonts w:ascii="仿宋_GB2312" w:eastAsia="仿宋_GB2312"/>
          <w:spacing w:val="24"/>
          <w:sz w:val="32"/>
          <w:szCs w:val="32"/>
        </w:rPr>
      </w:pPr>
      <w:r>
        <w:rPr>
          <w:rFonts w:ascii="仿宋_GB2312" w:eastAsia="仿宋_GB2312" w:hint="eastAsia"/>
          <w:spacing w:val="24"/>
          <w:sz w:val="32"/>
          <w:szCs w:val="32"/>
        </w:rPr>
        <w:t>海淀区人民检察院检察长</w:t>
      </w:r>
      <w:r>
        <w:rPr>
          <w:rFonts w:ascii="仿宋_GB2312" w:eastAsia="仿宋_GB2312"/>
          <w:spacing w:val="24"/>
          <w:sz w:val="32"/>
          <w:szCs w:val="32"/>
        </w:rPr>
        <w:t xml:space="preserve"> </w:t>
      </w:r>
      <w:r>
        <w:rPr>
          <w:rFonts w:ascii="仿宋_GB2312" w:eastAsia="仿宋_GB2312" w:hint="eastAsia"/>
          <w:spacing w:val="24"/>
          <w:sz w:val="32"/>
          <w:szCs w:val="32"/>
        </w:rPr>
        <w:t>王伟</w:t>
      </w:r>
    </w:p>
    <w:p w:rsidR="00007F64" w:rsidRDefault="00007F64" w:rsidP="006D4FBC">
      <w:pPr>
        <w:adjustRightInd w:val="0"/>
        <w:snapToGrid w:val="0"/>
        <w:spacing w:line="560" w:lineRule="exact"/>
        <w:rPr>
          <w:rFonts w:ascii="仿宋_GB2312" w:eastAsia="仿宋_GB2312"/>
          <w:spacing w:val="4"/>
          <w:sz w:val="32"/>
        </w:rPr>
      </w:pPr>
    </w:p>
    <w:p w:rsidR="00007F64" w:rsidRDefault="00007F64" w:rsidP="00A55CF7">
      <w:pPr>
        <w:adjustRightInd w:val="0"/>
        <w:snapToGrid w:val="0"/>
        <w:spacing w:line="540" w:lineRule="exact"/>
        <w:rPr>
          <w:rFonts w:ascii="仿宋_GB2312" w:eastAsia="仿宋_GB2312"/>
          <w:spacing w:val="4"/>
          <w:sz w:val="32"/>
        </w:rPr>
      </w:pPr>
      <w:r>
        <w:rPr>
          <w:rFonts w:ascii="仿宋_GB2312" w:eastAsia="仿宋_GB2312" w:hint="eastAsia"/>
          <w:spacing w:val="4"/>
          <w:sz w:val="32"/>
        </w:rPr>
        <w:t>主任、各位副主任、各位委员：</w:t>
      </w:r>
      <w:r>
        <w:rPr>
          <w:rFonts w:ascii="仿宋_GB2312" w:eastAsia="仿宋_GB2312"/>
          <w:spacing w:val="4"/>
          <w:sz w:val="32"/>
        </w:rPr>
        <w:t xml:space="preserve"> </w:t>
      </w:r>
    </w:p>
    <w:p w:rsidR="00007F64" w:rsidRDefault="00007F64" w:rsidP="004723A6">
      <w:pPr>
        <w:pStyle w:val="BodyTextIndent"/>
        <w:adjustRightInd w:val="0"/>
        <w:snapToGrid w:val="0"/>
        <w:spacing w:line="540" w:lineRule="exact"/>
        <w:ind w:firstLine="640"/>
        <w:rPr>
          <w:rFonts w:ascii="仿宋_GB2312" w:eastAsia="仿宋_GB2312" w:cs="仿宋_GB2312"/>
          <w:sz w:val="32"/>
          <w:szCs w:val="32"/>
        </w:rPr>
      </w:pPr>
      <w:r>
        <w:rPr>
          <w:rFonts w:ascii="仿宋_GB2312" w:eastAsia="仿宋_GB2312" w:cs="仿宋_GB2312" w:hint="eastAsia"/>
          <w:sz w:val="32"/>
          <w:szCs w:val="32"/>
        </w:rPr>
        <w:t>根据会议安排，我代表区检察院报告</w:t>
      </w:r>
      <w:r>
        <w:rPr>
          <w:rFonts w:ascii="仿宋_GB2312" w:eastAsia="仿宋_GB2312" w:cs="仿宋_GB2312"/>
          <w:sz w:val="32"/>
          <w:szCs w:val="32"/>
        </w:rPr>
        <w:t>2015</w:t>
      </w:r>
      <w:r>
        <w:rPr>
          <w:rFonts w:ascii="仿宋_GB2312" w:eastAsia="仿宋_GB2312" w:cs="仿宋_GB2312" w:hint="eastAsia"/>
          <w:sz w:val="32"/>
          <w:szCs w:val="32"/>
        </w:rPr>
        <w:t>年以来司法体制改革试点工作情况。</w:t>
      </w:r>
    </w:p>
    <w:p w:rsidR="00007F64" w:rsidRDefault="00007F64" w:rsidP="00A55CF7">
      <w:pPr>
        <w:pStyle w:val="BodyTextIndent"/>
        <w:adjustRightInd w:val="0"/>
        <w:snapToGrid w:val="0"/>
        <w:spacing w:line="540" w:lineRule="exact"/>
        <w:ind w:firstLine="640"/>
        <w:rPr>
          <w:rFonts w:ascii="仿宋_GB2312" w:eastAsia="仿宋_GB2312" w:cs="仿宋_GB2312"/>
          <w:sz w:val="32"/>
          <w:szCs w:val="32"/>
        </w:rPr>
      </w:pPr>
      <w:r>
        <w:rPr>
          <w:rFonts w:ascii="仿宋_GB2312" w:eastAsia="仿宋_GB2312" w:cs="仿宋_GB2312" w:hint="eastAsia"/>
          <w:sz w:val="32"/>
          <w:szCs w:val="32"/>
        </w:rPr>
        <w:t>党的十八届三中、四中全会对深化司法体制改革做出了全面部署。中央深改组先后十余次审议司法体制改革议题。我市被列为全国司法体制改革第三批试点地区，我院被确定为试点单位之一。在区委和市检察院的领导下，我院认真开展改革的前期准备工作。</w:t>
      </w:r>
      <w:r>
        <w:rPr>
          <w:rFonts w:ascii="仿宋_GB2312" w:eastAsia="仿宋_GB2312" w:cs="仿宋_GB2312"/>
          <w:sz w:val="32"/>
          <w:szCs w:val="32"/>
        </w:rPr>
        <w:t>2015</w:t>
      </w:r>
      <w:r>
        <w:rPr>
          <w:rFonts w:ascii="仿宋_GB2312" w:eastAsia="仿宋_GB2312" w:cs="仿宋_GB2312" w:hint="eastAsia"/>
          <w:sz w:val="32"/>
          <w:szCs w:val="32"/>
        </w:rPr>
        <w:t>年以来，市委、市检察院对检察系统司法体制改革工作加强部署、全面推进，对司法责任制、人员分类管理、职业保障、人财物统一管理等四项改革任务进行了整体统筹和任务分解，要求统一步调、统一模式、统一方案。按照市委、市检察院统一部署要求，我市检察系统司法体制改革即将全面推开。</w:t>
      </w:r>
    </w:p>
    <w:p w:rsidR="00007F64" w:rsidRDefault="00007F64" w:rsidP="00A55CF7">
      <w:pPr>
        <w:autoSpaceDE w:val="0"/>
        <w:autoSpaceDN w:val="0"/>
        <w:adjustRightInd w:val="0"/>
        <w:spacing w:line="540" w:lineRule="exact"/>
        <w:ind w:leftChars="7" w:left="15" w:right="18" w:firstLineChars="200" w:firstLine="643"/>
        <w:rPr>
          <w:rFonts w:ascii="仿宋_GB2312" w:eastAsia="仿宋_GB2312" w:hAnsi="宋体" w:cs="宋体"/>
          <w:kern w:val="0"/>
          <w:sz w:val="32"/>
          <w:szCs w:val="32"/>
        </w:rPr>
      </w:pPr>
      <w:r w:rsidRPr="00767F6A">
        <w:rPr>
          <w:rFonts w:ascii="仿宋_GB2312" w:eastAsia="仿宋_GB2312" w:cs="仿宋_GB2312" w:hint="eastAsia"/>
          <w:b/>
          <w:sz w:val="32"/>
          <w:szCs w:val="32"/>
        </w:rPr>
        <w:t>改革试点工作的总体目标是</w:t>
      </w:r>
      <w:r>
        <w:rPr>
          <w:rFonts w:ascii="仿宋_GB2312" w:eastAsia="仿宋_GB2312" w:cs="仿宋_GB2312" w:hint="eastAsia"/>
          <w:sz w:val="32"/>
          <w:szCs w:val="32"/>
        </w:rPr>
        <w:t>：</w:t>
      </w:r>
      <w:r>
        <w:rPr>
          <w:rFonts w:ascii="仿宋_GB2312" w:eastAsia="仿宋_GB2312" w:hAnsi="宋体" w:cs="宋体" w:hint="eastAsia"/>
          <w:kern w:val="0"/>
          <w:sz w:val="32"/>
          <w:szCs w:val="32"/>
        </w:rPr>
        <w:t>全面贯彻党的十八大、十八届三中、四中全会精神和习近平总书记系列重要讲话精神，积极稳妥地推进人员分类管理、司法责任制、职业保障、检察院人财物市级统管等四项改革，完善检察权运行机制，健全符合检察职业特点的人员分类管理和职业保障制度，着力解决影响司法公正和制约司法能力的深层次问题，完善检察工作体制机制，确保依法独立公正行使检察权，全面发挥法律监督职能作用，维护社会公平正义。</w:t>
      </w:r>
    </w:p>
    <w:p w:rsidR="00007F64" w:rsidRDefault="00007F64" w:rsidP="00A55CF7">
      <w:pPr>
        <w:autoSpaceDE w:val="0"/>
        <w:autoSpaceDN w:val="0"/>
        <w:adjustRightInd w:val="0"/>
        <w:spacing w:line="540" w:lineRule="exact"/>
        <w:ind w:leftChars="7" w:left="15" w:right="18" w:firstLineChars="200" w:firstLine="643"/>
        <w:rPr>
          <w:rFonts w:ascii="仿宋_GB2312" w:eastAsia="仿宋_GB2312" w:cs="仿宋_GB2312"/>
          <w:sz w:val="32"/>
          <w:szCs w:val="32"/>
        </w:rPr>
      </w:pPr>
      <w:r>
        <w:rPr>
          <w:rFonts w:ascii="仿宋_GB2312" w:eastAsia="仿宋_GB2312" w:cs="仿宋_GB2312" w:hint="eastAsia"/>
          <w:b/>
          <w:sz w:val="32"/>
          <w:szCs w:val="32"/>
        </w:rPr>
        <w:t>改革试点工作的主要任务：</w:t>
      </w:r>
      <w:r>
        <w:rPr>
          <w:rFonts w:ascii="仿宋_GB2312" w:eastAsia="仿宋_GB2312" w:cs="仿宋_GB2312" w:hint="eastAsia"/>
          <w:sz w:val="32"/>
          <w:szCs w:val="32"/>
        </w:rPr>
        <w:t>包括实行检察人员分类管理、推进司法责任制综合配套改革、健全检察人员职业保障制度、建立全市检察人员统一管理体制、实行全市检察院财物统一管理等五个方面。</w:t>
      </w:r>
    </w:p>
    <w:p w:rsidR="00007F64" w:rsidRPr="00F8489D" w:rsidRDefault="00007F64" w:rsidP="00E751A9">
      <w:pPr>
        <w:autoSpaceDE w:val="0"/>
        <w:autoSpaceDN w:val="0"/>
        <w:adjustRightInd w:val="0"/>
        <w:spacing w:line="540" w:lineRule="exact"/>
        <w:ind w:leftChars="7" w:left="15" w:right="18" w:firstLineChars="200" w:firstLine="643"/>
        <w:rPr>
          <w:rFonts w:ascii="仿宋_GB2312" w:eastAsia="仿宋_GB2312" w:hAnsi="宋体" w:cs="宋体"/>
          <w:kern w:val="0"/>
          <w:sz w:val="32"/>
          <w:szCs w:val="32"/>
        </w:rPr>
      </w:pPr>
      <w:r>
        <w:rPr>
          <w:rFonts w:ascii="仿宋_GB2312" w:eastAsia="仿宋_GB2312" w:cs="仿宋_GB2312" w:hint="eastAsia"/>
          <w:b/>
          <w:sz w:val="32"/>
          <w:szCs w:val="32"/>
        </w:rPr>
        <w:t>改革试点工作的实施步骤：</w:t>
      </w:r>
      <w:r>
        <w:rPr>
          <w:rFonts w:ascii="仿宋_GB2312" w:eastAsia="仿宋_GB2312" w:cs="仿宋_GB2312" w:hint="eastAsia"/>
          <w:sz w:val="32"/>
          <w:szCs w:val="32"/>
        </w:rPr>
        <w:t>市检察院初步确定于近期召开全市检察系统动员部署会，统一部署司法体制改革工作。同时启动首批计入员额检察官的选任工作，预计</w:t>
      </w:r>
      <w:r>
        <w:rPr>
          <w:rFonts w:ascii="仿宋_GB2312" w:eastAsia="仿宋_GB2312" w:cs="仿宋_GB2312"/>
          <w:sz w:val="32"/>
          <w:szCs w:val="32"/>
        </w:rPr>
        <w:t>5</w:t>
      </w:r>
      <w:r>
        <w:rPr>
          <w:rFonts w:ascii="仿宋_GB2312" w:eastAsia="仿宋_GB2312" w:cs="仿宋_GB2312" w:hint="eastAsia"/>
          <w:sz w:val="32"/>
          <w:szCs w:val="32"/>
        </w:rPr>
        <w:t>月底前完成。改革试点一段时期后，全面总结分析试点工作中存在的问题，评估实施效果，根据中央、市委、高检院部署要求，进一步完善改革实施方案及配套措施。</w:t>
      </w:r>
    </w:p>
    <w:p w:rsidR="00007F64" w:rsidRDefault="00007F64" w:rsidP="00A55CF7">
      <w:pPr>
        <w:pStyle w:val="BodyTextIndent"/>
        <w:adjustRightInd w:val="0"/>
        <w:snapToGrid w:val="0"/>
        <w:spacing w:line="540" w:lineRule="exact"/>
        <w:ind w:firstLine="640"/>
        <w:rPr>
          <w:rFonts w:ascii="仿宋_GB2312" w:eastAsia="仿宋_GB2312" w:cs="仿宋_GB2312"/>
          <w:sz w:val="32"/>
          <w:szCs w:val="32"/>
        </w:rPr>
      </w:pPr>
      <w:r>
        <w:rPr>
          <w:rFonts w:ascii="仿宋_GB2312" w:eastAsia="仿宋_GB2312" w:cs="仿宋_GB2312" w:hint="eastAsia"/>
          <w:sz w:val="32"/>
          <w:szCs w:val="32"/>
        </w:rPr>
        <w:t>下面分三个部分，对区检察院司法体制改革工作情况进行报告：</w:t>
      </w:r>
    </w:p>
    <w:p w:rsidR="00007F64" w:rsidRDefault="00007F64" w:rsidP="00A55CF7">
      <w:pPr>
        <w:pStyle w:val="BodyTextIndent"/>
        <w:adjustRightInd w:val="0"/>
        <w:snapToGrid w:val="0"/>
        <w:spacing w:line="540" w:lineRule="exact"/>
        <w:ind w:firstLine="640"/>
        <w:rPr>
          <w:rFonts w:ascii="黑体" w:eastAsia="黑体" w:hAnsi="宋体" w:cs="黑体"/>
          <w:sz w:val="32"/>
          <w:szCs w:val="32"/>
        </w:rPr>
      </w:pPr>
      <w:r>
        <w:rPr>
          <w:rFonts w:ascii="黑体" w:eastAsia="黑体" w:cs="仿宋_GB2312" w:hint="eastAsia"/>
          <w:sz w:val="32"/>
          <w:szCs w:val="32"/>
        </w:rPr>
        <w:t>一、</w:t>
      </w:r>
      <w:r>
        <w:rPr>
          <w:rFonts w:ascii="黑体" w:eastAsia="黑体" w:hAnsi="宋体" w:cs="黑体" w:hint="eastAsia"/>
          <w:sz w:val="32"/>
          <w:szCs w:val="32"/>
        </w:rPr>
        <w:t>司法体制改革试点工作的主要内容</w:t>
      </w:r>
    </w:p>
    <w:p w:rsidR="00007F64" w:rsidRPr="005F278F" w:rsidRDefault="00007F64" w:rsidP="00A55CF7">
      <w:pPr>
        <w:adjustRightInd w:val="0"/>
        <w:snapToGrid w:val="0"/>
        <w:spacing w:line="540" w:lineRule="exact"/>
        <w:ind w:firstLineChars="200" w:firstLine="640"/>
        <w:rPr>
          <w:rFonts w:ascii="仿宋_GB2312" w:eastAsia="仿宋_GB2312"/>
          <w:sz w:val="32"/>
          <w:szCs w:val="32"/>
        </w:rPr>
      </w:pPr>
      <w:r w:rsidRPr="005F278F">
        <w:rPr>
          <w:rFonts w:ascii="仿宋_GB2312" w:eastAsia="仿宋_GB2312" w:hint="eastAsia"/>
          <w:sz w:val="32"/>
          <w:szCs w:val="32"/>
        </w:rPr>
        <w:t>根据</w:t>
      </w:r>
      <w:r>
        <w:rPr>
          <w:rFonts w:ascii="仿宋_GB2312" w:eastAsia="仿宋_GB2312" w:hint="eastAsia"/>
          <w:sz w:val="32"/>
          <w:szCs w:val="32"/>
        </w:rPr>
        <w:t>中央司法体制改革精神和市委、</w:t>
      </w:r>
      <w:r w:rsidRPr="005F278F">
        <w:rPr>
          <w:rFonts w:ascii="仿宋_GB2312" w:eastAsia="仿宋_GB2312" w:hint="eastAsia"/>
          <w:sz w:val="32"/>
          <w:szCs w:val="32"/>
        </w:rPr>
        <w:t>市检察院</w:t>
      </w:r>
      <w:r>
        <w:rPr>
          <w:rFonts w:ascii="仿宋_GB2312" w:eastAsia="仿宋_GB2312" w:hint="eastAsia"/>
          <w:sz w:val="32"/>
          <w:szCs w:val="32"/>
        </w:rPr>
        <w:t>相关部署，检察系统司法体制改革试点工作主要包括以下几个方面：</w:t>
      </w:r>
    </w:p>
    <w:p w:rsidR="00007F64" w:rsidRDefault="00007F64" w:rsidP="00143C38">
      <w:pPr>
        <w:adjustRightInd w:val="0"/>
        <w:snapToGrid w:val="0"/>
        <w:spacing w:line="540" w:lineRule="exact"/>
        <w:ind w:firstLineChars="200" w:firstLine="643"/>
        <w:rPr>
          <w:rFonts w:ascii="仿宋_GB2312" w:eastAsia="仿宋_GB2312"/>
          <w:sz w:val="32"/>
          <w:szCs w:val="32"/>
        </w:rPr>
      </w:pPr>
      <w:r>
        <w:rPr>
          <w:rFonts w:ascii="楷体_GB2312" w:eastAsia="楷体_GB2312" w:hint="eastAsia"/>
          <w:b/>
          <w:sz w:val="32"/>
          <w:szCs w:val="32"/>
        </w:rPr>
        <w:t>一是实行检察人员分类管理。</w:t>
      </w:r>
      <w:r>
        <w:rPr>
          <w:rFonts w:ascii="仿宋_GB2312" w:eastAsia="仿宋_GB2312" w:hint="eastAsia"/>
          <w:sz w:val="32"/>
          <w:szCs w:val="32"/>
        </w:rPr>
        <w:t>为突出检察官在检察工作中的主体地位，</w:t>
      </w:r>
      <w:r w:rsidRPr="00C77F5A">
        <w:rPr>
          <w:rFonts w:ascii="仿宋_GB2312" w:eastAsia="仿宋_GB2312" w:hint="eastAsia"/>
          <w:sz w:val="32"/>
          <w:szCs w:val="32"/>
        </w:rPr>
        <w:t>将</w:t>
      </w:r>
      <w:r>
        <w:rPr>
          <w:rFonts w:ascii="仿宋_GB2312" w:eastAsia="仿宋_GB2312" w:hint="eastAsia"/>
          <w:sz w:val="32"/>
          <w:szCs w:val="32"/>
        </w:rPr>
        <w:t>检察机关</w:t>
      </w:r>
      <w:r w:rsidRPr="00C77F5A">
        <w:rPr>
          <w:rFonts w:ascii="仿宋_GB2312" w:eastAsia="仿宋_GB2312" w:hint="eastAsia"/>
          <w:sz w:val="32"/>
          <w:szCs w:val="32"/>
        </w:rPr>
        <w:t>政法专项编制人员划分为检察官、检察辅助人员、司法行政人员三</w:t>
      </w:r>
      <w:r>
        <w:rPr>
          <w:rFonts w:ascii="仿宋_GB2312" w:eastAsia="仿宋_GB2312" w:hint="eastAsia"/>
          <w:sz w:val="32"/>
          <w:szCs w:val="32"/>
        </w:rPr>
        <w:t>大</w:t>
      </w:r>
      <w:r w:rsidRPr="00C77F5A">
        <w:rPr>
          <w:rFonts w:ascii="仿宋_GB2312" w:eastAsia="仿宋_GB2312" w:hint="eastAsia"/>
          <w:sz w:val="32"/>
          <w:szCs w:val="32"/>
        </w:rPr>
        <w:t>类，</w:t>
      </w:r>
      <w:r>
        <w:rPr>
          <w:rFonts w:ascii="仿宋_GB2312" w:eastAsia="仿宋_GB2312" w:hint="eastAsia"/>
          <w:sz w:val="32"/>
          <w:szCs w:val="32"/>
        </w:rPr>
        <w:t>实现</w:t>
      </w:r>
      <w:r w:rsidRPr="00C77F5A">
        <w:rPr>
          <w:rFonts w:ascii="仿宋_GB2312" w:eastAsia="仿宋_GB2312" w:hint="eastAsia"/>
          <w:sz w:val="32"/>
          <w:szCs w:val="32"/>
        </w:rPr>
        <w:t>按不同序列，分别管理。</w:t>
      </w:r>
      <w:r w:rsidRPr="00CC000A">
        <w:rPr>
          <w:rStyle w:val="FootnoteReference"/>
          <w:rFonts w:hAnsi="Symbol" w:hint="eastAsia"/>
        </w:rPr>
        <w:footnoteReference w:customMarkFollows="1" w:id="1"/>
        <w:sym w:font="Symbol" w:char="F02A"/>
      </w:r>
      <w:r>
        <w:rPr>
          <w:rFonts w:ascii="仿宋_GB2312" w:eastAsia="仿宋_GB2312"/>
          <w:sz w:val="32"/>
          <w:szCs w:val="32"/>
        </w:rPr>
        <w:t xml:space="preserve"> </w:t>
      </w:r>
      <w:r>
        <w:rPr>
          <w:rFonts w:ascii="仿宋_GB2312" w:eastAsia="仿宋_GB2312" w:hint="eastAsia"/>
          <w:b/>
          <w:sz w:val="32"/>
          <w:szCs w:val="32"/>
        </w:rPr>
        <w:t>实行员额制。</w:t>
      </w:r>
      <w:r w:rsidRPr="00201F8A">
        <w:rPr>
          <w:rFonts w:ascii="仿宋_GB2312" w:eastAsia="仿宋_GB2312" w:hint="eastAsia"/>
          <w:sz w:val="32"/>
          <w:szCs w:val="32"/>
        </w:rPr>
        <w:t>以政法专项编制数为基础，</w:t>
      </w:r>
      <w:r>
        <w:rPr>
          <w:rFonts w:ascii="仿宋_GB2312" w:eastAsia="仿宋_GB2312" w:hint="eastAsia"/>
          <w:sz w:val="32"/>
          <w:szCs w:val="32"/>
        </w:rPr>
        <w:t>分别划定</w:t>
      </w:r>
      <w:r w:rsidRPr="00201F8A">
        <w:rPr>
          <w:rFonts w:ascii="仿宋_GB2312" w:eastAsia="仿宋_GB2312" w:hint="eastAsia"/>
          <w:sz w:val="32"/>
          <w:szCs w:val="32"/>
        </w:rPr>
        <w:t>检察官、检察辅助人员、司法行政人员三类</w:t>
      </w:r>
      <w:r>
        <w:rPr>
          <w:rFonts w:ascii="仿宋_GB2312" w:eastAsia="仿宋_GB2312" w:hint="eastAsia"/>
          <w:sz w:val="32"/>
          <w:szCs w:val="32"/>
        </w:rPr>
        <w:t>人员</w:t>
      </w:r>
      <w:r w:rsidRPr="00201F8A">
        <w:rPr>
          <w:rFonts w:ascii="仿宋_GB2312" w:eastAsia="仿宋_GB2312" w:hint="eastAsia"/>
          <w:sz w:val="32"/>
          <w:szCs w:val="32"/>
        </w:rPr>
        <w:t>员额比例，确保主要检察人力资源直接投入办案</w:t>
      </w:r>
      <w:r>
        <w:rPr>
          <w:rFonts w:ascii="仿宋_GB2312" w:eastAsia="仿宋_GB2312" w:hint="eastAsia"/>
          <w:sz w:val="32"/>
          <w:szCs w:val="32"/>
        </w:rPr>
        <w:t>一线</w:t>
      </w:r>
      <w:r w:rsidRPr="00201F8A">
        <w:rPr>
          <w:rFonts w:ascii="仿宋_GB2312" w:eastAsia="仿宋_GB2312" w:hint="eastAsia"/>
          <w:sz w:val="32"/>
          <w:szCs w:val="32"/>
        </w:rPr>
        <w:t>。</w:t>
      </w:r>
      <w:r>
        <w:rPr>
          <w:rFonts w:ascii="仿宋_GB2312" w:eastAsia="仿宋_GB2312" w:hint="eastAsia"/>
          <w:sz w:val="32"/>
          <w:szCs w:val="32"/>
        </w:rPr>
        <w:t>全市检察机关各类人员的员额由市院统一管理、统筹使用、动态调整。区级检察院三类人员员额比例为：检察官占编制数</w:t>
      </w:r>
      <w:r>
        <w:rPr>
          <w:rFonts w:ascii="仿宋_GB2312" w:eastAsia="仿宋_GB2312"/>
          <w:sz w:val="32"/>
          <w:szCs w:val="32"/>
        </w:rPr>
        <w:t>38%</w:t>
      </w:r>
      <w:r>
        <w:rPr>
          <w:rFonts w:ascii="仿宋_GB2312" w:eastAsia="仿宋_GB2312" w:hint="eastAsia"/>
          <w:sz w:val="32"/>
          <w:szCs w:val="32"/>
        </w:rPr>
        <w:t>；检察辅助人员占编制数</w:t>
      </w:r>
      <w:r>
        <w:rPr>
          <w:rFonts w:ascii="仿宋_GB2312" w:eastAsia="仿宋_GB2312"/>
          <w:sz w:val="32"/>
          <w:szCs w:val="32"/>
        </w:rPr>
        <w:t>48%</w:t>
      </w:r>
      <w:r>
        <w:rPr>
          <w:rFonts w:ascii="仿宋_GB2312" w:eastAsia="仿宋_GB2312" w:hint="eastAsia"/>
          <w:sz w:val="32"/>
          <w:szCs w:val="32"/>
        </w:rPr>
        <w:t>；司法行政人员占编制数</w:t>
      </w:r>
      <w:r>
        <w:rPr>
          <w:rFonts w:ascii="仿宋_GB2312" w:eastAsia="仿宋_GB2312"/>
          <w:sz w:val="32"/>
          <w:szCs w:val="32"/>
        </w:rPr>
        <w:t>14%</w:t>
      </w:r>
      <w:r>
        <w:rPr>
          <w:rFonts w:ascii="仿宋_GB2312" w:eastAsia="仿宋_GB2312" w:hint="eastAsia"/>
          <w:sz w:val="32"/>
          <w:szCs w:val="32"/>
        </w:rPr>
        <w:t>。</w:t>
      </w:r>
      <w:r>
        <w:rPr>
          <w:rFonts w:ascii="仿宋_GB2312" w:eastAsia="仿宋_GB2312" w:hint="eastAsia"/>
          <w:b/>
          <w:sz w:val="32"/>
          <w:szCs w:val="32"/>
        </w:rPr>
        <w:t>实施分类定岗。</w:t>
      </w:r>
      <w:r>
        <w:rPr>
          <w:rFonts w:ascii="仿宋_GB2312" w:eastAsia="仿宋_GB2312" w:hint="eastAsia"/>
          <w:sz w:val="32"/>
          <w:szCs w:val="32"/>
        </w:rPr>
        <w:t>现有政法专项编制人员，要根据人员分类和员额制的要求，分别确定岗位。检察官员额配备在检察长、副检察长、检察委员会委员，以及检察业务部门的司法办案、法律监督岗位。司法行政部门不设置检察官岗位。进入员额的检察官必须编入办案组织，在司法一线办案，行使办案职责，承担司法责任。</w:t>
      </w:r>
    </w:p>
    <w:p w:rsidR="00007F64" w:rsidRDefault="00007F64" w:rsidP="00A55CF7">
      <w:pPr>
        <w:autoSpaceDE w:val="0"/>
        <w:autoSpaceDN w:val="0"/>
        <w:adjustRightInd w:val="0"/>
        <w:snapToGrid w:val="0"/>
        <w:spacing w:line="540" w:lineRule="exact"/>
        <w:ind w:leftChars="7" w:left="15" w:right="17" w:firstLineChars="200" w:firstLine="643"/>
        <w:rPr>
          <w:rFonts w:ascii="仿宋_GB2312" w:eastAsia="仿宋_GB2312" w:hAnsi="宋体" w:cs="宋体"/>
          <w:kern w:val="0"/>
          <w:sz w:val="32"/>
          <w:szCs w:val="32"/>
        </w:rPr>
      </w:pPr>
      <w:r>
        <w:rPr>
          <w:rFonts w:ascii="楷体_GB2312" w:eastAsia="楷体_GB2312" w:hAnsi="宋体" w:cs="宋体" w:hint="eastAsia"/>
          <w:b/>
          <w:kern w:val="0"/>
          <w:sz w:val="32"/>
          <w:szCs w:val="32"/>
        </w:rPr>
        <w:t>二是落实司法责任制</w:t>
      </w:r>
      <w:r>
        <w:rPr>
          <w:rFonts w:ascii="仿宋_GB2312" w:eastAsia="仿宋_GB2312" w:hAnsi="宋体" w:cs="宋体" w:hint="eastAsia"/>
          <w:b/>
          <w:kern w:val="0"/>
          <w:sz w:val="32"/>
          <w:szCs w:val="32"/>
        </w:rPr>
        <w:t>。</w:t>
      </w:r>
      <w:r w:rsidRPr="00767F6A">
        <w:rPr>
          <w:rFonts w:ascii="仿宋_GB2312" w:eastAsia="仿宋_GB2312" w:hint="eastAsia"/>
          <w:sz w:val="32"/>
          <w:szCs w:val="32"/>
        </w:rPr>
        <w:t>习近平总书记指出，司法体制改革“要紧紧牵住司法责任制这个牛鼻子”。司</w:t>
      </w:r>
      <w:r>
        <w:rPr>
          <w:rFonts w:ascii="仿宋_GB2312" w:eastAsia="仿宋_GB2312" w:hAnsi="宋体" w:cs="宋体" w:hint="eastAsia"/>
          <w:kern w:val="0"/>
          <w:sz w:val="32"/>
          <w:szCs w:val="32"/>
        </w:rPr>
        <w:t>法责任制的总体目标是：健全司法办案组织，科学界定内部司法办案权限，完善司法办案责任体系，构建公正高效的检察权运行机制和公平合理的司法责任认定、追究机制，确保让真正能办案、会办案的检察人员配置在业务一线，有效履行职能，承担司法责任，真正做到“谁办案谁负责、谁决定谁负责”。主要包括健全司法办案组织、</w:t>
      </w:r>
      <w:r w:rsidRPr="00AE6BCB">
        <w:rPr>
          <w:rFonts w:ascii="仿宋_GB2312" w:eastAsia="仿宋_GB2312" w:hAnsi="宋体" w:cs="宋体" w:hint="eastAsia"/>
          <w:kern w:val="0"/>
          <w:sz w:val="32"/>
          <w:szCs w:val="32"/>
        </w:rPr>
        <w:t>明确检察人员职责权限、健全检委会运行机制、健全检察管理与监督机制、完善司法办案责任体系、加强专业化职业化建设</w:t>
      </w:r>
      <w:r>
        <w:rPr>
          <w:rFonts w:ascii="仿宋_GB2312" w:eastAsia="仿宋_GB2312" w:hAnsi="宋体" w:cs="宋体" w:hint="eastAsia"/>
          <w:kern w:val="0"/>
          <w:sz w:val="32"/>
          <w:szCs w:val="32"/>
        </w:rPr>
        <w:t>等六个方面内容。</w:t>
      </w:r>
    </w:p>
    <w:p w:rsidR="00007F64" w:rsidRPr="007C0C20" w:rsidRDefault="00007F64" w:rsidP="00AE6BCB">
      <w:pPr>
        <w:autoSpaceDE w:val="0"/>
        <w:autoSpaceDN w:val="0"/>
        <w:adjustRightInd w:val="0"/>
        <w:snapToGrid w:val="0"/>
        <w:spacing w:line="540" w:lineRule="exact"/>
        <w:ind w:leftChars="7" w:left="15" w:right="17" w:firstLineChars="200" w:firstLine="643"/>
        <w:rPr>
          <w:rFonts w:ascii="楷体_GB2312" w:eastAsia="楷体_GB2312" w:hAnsi="宋体" w:cs="宋体"/>
          <w:b/>
          <w:kern w:val="0"/>
          <w:sz w:val="32"/>
          <w:szCs w:val="32"/>
        </w:rPr>
      </w:pPr>
      <w:r>
        <w:rPr>
          <w:rFonts w:ascii="楷体_GB2312" w:eastAsia="楷体_GB2312" w:hAnsi="宋体" w:cs="宋体" w:hint="eastAsia"/>
          <w:b/>
          <w:kern w:val="0"/>
          <w:sz w:val="32"/>
          <w:szCs w:val="32"/>
        </w:rPr>
        <w:t>三是落实检察人员职业保障。</w:t>
      </w:r>
      <w:r>
        <w:rPr>
          <w:rFonts w:ascii="仿宋_GB2312" w:eastAsia="仿宋_GB2312" w:hAnsi="宋体" w:cs="宋体" w:hint="eastAsia"/>
          <w:b/>
          <w:kern w:val="0"/>
          <w:sz w:val="32"/>
          <w:szCs w:val="32"/>
        </w:rPr>
        <w:t>薪酬待遇保障机制，</w:t>
      </w:r>
      <w:r>
        <w:rPr>
          <w:rFonts w:ascii="仿宋_GB2312" w:eastAsia="仿宋_GB2312" w:hAnsi="宋体" w:cs="宋体" w:hint="eastAsia"/>
          <w:kern w:val="0"/>
          <w:sz w:val="32"/>
          <w:szCs w:val="32"/>
        </w:rPr>
        <w:t>检察官及检察辅助人员的薪酬制度，按照人力资源社会保障部会同财政部、中央政法委等部门确定的方案进行试点。司法警察按照中央关于公安改革的整体部署，建立符合人民警察职业特点的工资待遇保障体系。</w:t>
      </w:r>
      <w:r>
        <w:rPr>
          <w:rFonts w:ascii="仿宋_GB2312" w:eastAsia="仿宋_GB2312" w:hAnsi="宋体" w:cs="宋体" w:hint="eastAsia"/>
          <w:b/>
          <w:kern w:val="0"/>
          <w:sz w:val="32"/>
          <w:szCs w:val="32"/>
        </w:rPr>
        <w:t>建立履行法定职责保护机制，</w:t>
      </w:r>
      <w:r>
        <w:rPr>
          <w:rFonts w:ascii="仿宋_GB2312" w:eastAsia="仿宋_GB2312" w:hAnsi="宋体" w:cs="宋体" w:hint="eastAsia"/>
          <w:kern w:val="0"/>
          <w:sz w:val="32"/>
          <w:szCs w:val="32"/>
        </w:rPr>
        <w:t>非因法定事由，非经法定程序，不得将检察官调离、辞退或者作出免职、降级等处分；不得要求其提前离岗离职。检察官办案中的职务行为，除规定情形外不受指控；规定检察官受到处分的救济途径。</w:t>
      </w:r>
      <w:r>
        <w:rPr>
          <w:rFonts w:ascii="仿宋_GB2312" w:eastAsia="仿宋_GB2312" w:hAnsi="宋体" w:cs="宋体" w:hint="eastAsia"/>
          <w:b/>
          <w:kern w:val="0"/>
          <w:sz w:val="32"/>
          <w:szCs w:val="32"/>
        </w:rPr>
        <w:t>建立人身安全保障机制，</w:t>
      </w:r>
      <w:r>
        <w:rPr>
          <w:rFonts w:ascii="仿宋_GB2312" w:eastAsia="仿宋_GB2312" w:hAnsi="宋体" w:cs="宋体" w:hint="eastAsia"/>
          <w:kern w:val="0"/>
          <w:sz w:val="32"/>
          <w:szCs w:val="32"/>
        </w:rPr>
        <w:t>从严惩处报复袭击、诽谤陷害检察人员及其家庭成员的违法犯罪活动。加强对侦查、提讯、出庭环节、控告申诉接待场所和因履职遭受侵害的重点人员的安全保障。完善检察人员因公牺牲、意外伤害等抚恤救助制度，健全检察人员伤亡保险、工伤保险、医疗保险。</w:t>
      </w:r>
    </w:p>
    <w:p w:rsidR="00007F64" w:rsidRPr="007C0C20" w:rsidRDefault="00007F64" w:rsidP="00A55CF7">
      <w:pPr>
        <w:autoSpaceDE w:val="0"/>
        <w:autoSpaceDN w:val="0"/>
        <w:adjustRightInd w:val="0"/>
        <w:snapToGrid w:val="0"/>
        <w:spacing w:line="540" w:lineRule="exact"/>
        <w:ind w:right="17" w:firstLineChars="200" w:firstLine="643"/>
        <w:rPr>
          <w:rFonts w:ascii="楷体_GB2312" w:eastAsia="楷体_GB2312" w:hAnsi="宋体" w:cs="宋体"/>
          <w:b/>
          <w:kern w:val="0"/>
          <w:sz w:val="32"/>
          <w:szCs w:val="32"/>
        </w:rPr>
      </w:pPr>
      <w:r>
        <w:rPr>
          <w:rFonts w:ascii="楷体_GB2312" w:eastAsia="楷体_GB2312" w:hAnsi="宋体" w:cs="宋体" w:hint="eastAsia"/>
          <w:b/>
          <w:kern w:val="0"/>
          <w:sz w:val="32"/>
          <w:szCs w:val="32"/>
        </w:rPr>
        <w:t>四是落实全市检察人员统一管理。</w:t>
      </w:r>
      <w:r>
        <w:rPr>
          <w:rFonts w:ascii="仿宋_GB2312" w:eastAsia="仿宋_GB2312" w:hAnsi="宋体" w:cs="宋体" w:hint="eastAsia"/>
          <w:b/>
          <w:kern w:val="0"/>
          <w:sz w:val="32"/>
          <w:szCs w:val="32"/>
        </w:rPr>
        <w:t>统一机构编制管理，</w:t>
      </w:r>
      <w:r>
        <w:rPr>
          <w:rFonts w:ascii="仿宋_GB2312" w:eastAsia="仿宋_GB2312" w:hAnsi="宋体" w:cs="宋体" w:hint="eastAsia"/>
          <w:kern w:val="0"/>
          <w:sz w:val="32"/>
          <w:szCs w:val="32"/>
        </w:rPr>
        <w:t>全市各级检察院机构编制实行市级统一管理。检察系统通过购买社会服务的方式，统一聘用合同制书记员、合同制司法警察和其他专业人员，满足构建办案组织的需要。</w:t>
      </w:r>
      <w:r>
        <w:rPr>
          <w:rFonts w:ascii="仿宋_GB2312" w:eastAsia="仿宋_GB2312" w:hAnsi="宋体" w:cs="宋体" w:hint="eastAsia"/>
          <w:b/>
          <w:kern w:val="0"/>
          <w:sz w:val="32"/>
          <w:szCs w:val="32"/>
        </w:rPr>
        <w:t>检察官逐级遴选和公开选拔制度，</w:t>
      </w:r>
      <w:r>
        <w:rPr>
          <w:rFonts w:ascii="仿宋_GB2312" w:eastAsia="仿宋_GB2312" w:hAnsi="宋体" w:cs="宋体" w:hint="eastAsia"/>
          <w:kern w:val="0"/>
          <w:sz w:val="32"/>
          <w:szCs w:val="32"/>
        </w:rPr>
        <w:t>初任检察官主要从检察官助理中择优选任。初任检察官原则上在基层检察院任职。上级检察院检察官原则上从下一级检察院的检察官中择优选任。检察官也可以从优秀的律师和具有法律职业资格的法律专家等法律职业人员中公开选拔或调任。</w:t>
      </w:r>
      <w:r>
        <w:rPr>
          <w:rFonts w:ascii="仿宋_GB2312" w:eastAsia="仿宋_GB2312" w:hAnsi="宋体" w:cs="宋体" w:hint="eastAsia"/>
          <w:b/>
          <w:kern w:val="0"/>
          <w:sz w:val="32"/>
          <w:szCs w:val="32"/>
        </w:rPr>
        <w:t>检察官“统一提名、党委审批、分级任免”制度，</w:t>
      </w:r>
      <w:r>
        <w:rPr>
          <w:rFonts w:ascii="仿宋_GB2312" w:eastAsia="仿宋_GB2312" w:hAnsi="宋体" w:cs="宋体" w:hint="eastAsia"/>
          <w:kern w:val="0"/>
          <w:sz w:val="32"/>
          <w:szCs w:val="32"/>
        </w:rPr>
        <w:t>市检察院设立检察官遴选工作机构。拟任初任检察官人选，由检察官遴选工作办公室提交市法官检察官遴选委员会进行专业审查、提出推荐人选后，按照干部管理权限研究确定。检察官职务等级的确定、升降按照规定的程序和干部管理权限批准决定；检察官的考核、评议，由各级检察院检察官考评委员会负责。</w:t>
      </w:r>
      <w:r>
        <w:rPr>
          <w:rFonts w:ascii="仿宋_GB2312" w:eastAsia="仿宋_GB2312" w:hAnsi="宋体" w:cs="宋体" w:hint="eastAsia"/>
          <w:b/>
          <w:kern w:val="0"/>
          <w:sz w:val="32"/>
          <w:szCs w:val="32"/>
        </w:rPr>
        <w:t>检察人员交流机制，</w:t>
      </w:r>
      <w:r>
        <w:rPr>
          <w:rFonts w:ascii="仿宋_GB2312" w:eastAsia="仿宋_GB2312" w:hAnsi="宋体" w:cs="宋体" w:hint="eastAsia"/>
          <w:kern w:val="0"/>
          <w:sz w:val="32"/>
          <w:szCs w:val="32"/>
        </w:rPr>
        <w:t>检察人员一般应在各自类别内交流，确有工作需要，也可以跨类别交流。但应当具备相应的资格条件，在员额内进行。改革后新进人员，均应实行严格的分类管理制度。检察人员可以按照规定和组织程序，与其他政法机关、党政机关等相关单位工作人员交流。检察人员系统内部交流、外部交流，均由市院审批。</w:t>
      </w:r>
    </w:p>
    <w:p w:rsidR="00007F64" w:rsidRPr="00E2325C" w:rsidRDefault="00007F64" w:rsidP="00A55CF7">
      <w:pPr>
        <w:autoSpaceDE w:val="0"/>
        <w:autoSpaceDN w:val="0"/>
        <w:adjustRightInd w:val="0"/>
        <w:snapToGrid w:val="0"/>
        <w:spacing w:line="540" w:lineRule="exact"/>
        <w:ind w:leftChars="7" w:left="15" w:right="17" w:firstLineChars="200" w:firstLine="643"/>
        <w:rPr>
          <w:rFonts w:ascii="楷体_GB2312" w:eastAsia="楷体_GB2312" w:hAnsi="宋体" w:cs="宋体"/>
          <w:b/>
          <w:kern w:val="0"/>
          <w:sz w:val="32"/>
          <w:szCs w:val="32"/>
        </w:rPr>
      </w:pPr>
      <w:r>
        <w:rPr>
          <w:rFonts w:ascii="楷体_GB2312" w:eastAsia="楷体_GB2312" w:hAnsi="宋体" w:cs="宋体" w:hint="eastAsia"/>
          <w:b/>
          <w:kern w:val="0"/>
          <w:sz w:val="32"/>
          <w:szCs w:val="32"/>
        </w:rPr>
        <w:t>五是落实市级财务统一管理。</w:t>
      </w:r>
      <w:r>
        <w:rPr>
          <w:rFonts w:ascii="仿宋_GB2312" w:eastAsia="仿宋_GB2312" w:hAnsi="宋体" w:cs="宋体" w:hint="eastAsia"/>
          <w:b/>
          <w:kern w:val="0"/>
          <w:sz w:val="32"/>
          <w:szCs w:val="32"/>
        </w:rPr>
        <w:t>经费统一管理，</w:t>
      </w:r>
      <w:r>
        <w:rPr>
          <w:rFonts w:ascii="仿宋_GB2312" w:eastAsia="仿宋_GB2312" w:hAnsi="宋体" w:cs="宋体" w:hint="eastAsia"/>
          <w:kern w:val="0"/>
          <w:sz w:val="32"/>
          <w:szCs w:val="32"/>
        </w:rPr>
        <w:t>建立经费统一预决算制度，全市三级检察院均作为市财政一级预算单位管理，经费由市财政部门统一保障，保证办公经费、办案经费和人员收入不低于原有水平。</w:t>
      </w:r>
      <w:r>
        <w:rPr>
          <w:rFonts w:ascii="仿宋_GB2312" w:eastAsia="仿宋_GB2312" w:hAnsi="宋体" w:cs="宋体" w:hint="eastAsia"/>
          <w:b/>
          <w:kern w:val="0"/>
          <w:sz w:val="32"/>
          <w:szCs w:val="32"/>
        </w:rPr>
        <w:t>资产统一管理，</w:t>
      </w:r>
      <w:r>
        <w:rPr>
          <w:rFonts w:ascii="仿宋_GB2312" w:eastAsia="仿宋_GB2312" w:hAnsi="宋体" w:cs="宋体" w:hint="eastAsia"/>
          <w:kern w:val="0"/>
          <w:sz w:val="32"/>
          <w:szCs w:val="32"/>
        </w:rPr>
        <w:t>集中清查登记区级检察院的土地，办公和业务用房，办公、办案设备等各类财产，做到账账相符、账实相符，由各区划转市级部门统一管理。今后区级检察院固定资产投资项目纳入市级固定资产投资计划，由市级财力予以保障。</w:t>
      </w:r>
    </w:p>
    <w:p w:rsidR="00007F64" w:rsidRDefault="00007F64" w:rsidP="00A55CF7">
      <w:pPr>
        <w:autoSpaceDE w:val="0"/>
        <w:autoSpaceDN w:val="0"/>
        <w:adjustRightInd w:val="0"/>
        <w:snapToGrid w:val="0"/>
        <w:spacing w:line="540" w:lineRule="exact"/>
        <w:ind w:leftChars="7" w:left="15" w:right="17" w:firstLineChars="200" w:firstLine="643"/>
        <w:rPr>
          <w:rFonts w:ascii="楷体_GB2312" w:eastAsia="楷体_GB2312" w:hAnsi="宋体" w:cs="宋体"/>
          <w:b/>
          <w:kern w:val="0"/>
          <w:sz w:val="32"/>
          <w:szCs w:val="32"/>
        </w:rPr>
      </w:pPr>
      <w:r>
        <w:rPr>
          <w:rFonts w:ascii="楷体_GB2312" w:eastAsia="楷体_GB2312" w:hAnsi="宋体" w:cs="宋体" w:hint="eastAsia"/>
          <w:b/>
          <w:kern w:val="0"/>
          <w:sz w:val="32"/>
          <w:szCs w:val="32"/>
        </w:rPr>
        <w:t>六是优化内设机构。</w:t>
      </w:r>
      <w:r>
        <w:rPr>
          <w:rFonts w:ascii="仿宋_GB2312" w:eastAsia="仿宋_GB2312" w:hAnsi="宋体" w:cs="宋体" w:hint="eastAsia"/>
          <w:kern w:val="0"/>
          <w:sz w:val="32"/>
          <w:szCs w:val="32"/>
        </w:rPr>
        <w:t>完善检察权运行机制，促进内设机构从办案单位向“专业平台”和“管理单元”转变。“专业平台”是指专门办理某类型案件或某类事务的集体。“管理单元”主要承担办案管理、行政管理、队伍管理等职责，不再在办案中发挥实质作用。遵循精简、统一、效能和专业化的要求，按照诉讼职能与诉讼监督职能适当分离，案件办理职能与案件管理职能适当分离，检察权与司法行政事务权适当分离的“三个适当分离”原则，优化内设机构。区级检察院依据案件和人员规模，按照优化职能的要求设置内设机构。</w:t>
      </w:r>
    </w:p>
    <w:p w:rsidR="00007F64" w:rsidRDefault="00007F64" w:rsidP="00A55CF7">
      <w:pPr>
        <w:pStyle w:val="BodyTextIndent"/>
        <w:adjustRightInd w:val="0"/>
        <w:snapToGrid w:val="0"/>
        <w:spacing w:line="540" w:lineRule="exact"/>
        <w:ind w:firstLine="640"/>
        <w:rPr>
          <w:rFonts w:ascii="黑体" w:eastAsia="黑体" w:hAnsi="宋体" w:cs="黑体"/>
          <w:sz w:val="32"/>
          <w:szCs w:val="32"/>
        </w:rPr>
      </w:pPr>
      <w:r>
        <w:rPr>
          <w:rFonts w:ascii="黑体" w:eastAsia="黑体" w:cs="仿宋_GB2312" w:hint="eastAsia"/>
          <w:sz w:val="32"/>
          <w:szCs w:val="32"/>
        </w:rPr>
        <w:t>二、</w:t>
      </w:r>
      <w:r>
        <w:rPr>
          <w:rFonts w:ascii="黑体" w:eastAsia="黑体" w:hAnsi="宋体" w:cs="黑体" w:hint="eastAsia"/>
          <w:sz w:val="32"/>
          <w:szCs w:val="32"/>
        </w:rPr>
        <w:t>我院前期准备工作情况</w:t>
      </w:r>
    </w:p>
    <w:p w:rsidR="00007F64" w:rsidRDefault="00007F64" w:rsidP="00A55CF7">
      <w:pPr>
        <w:pStyle w:val="BodyTextIndent"/>
        <w:adjustRightInd w:val="0"/>
        <w:snapToGrid w:val="0"/>
        <w:spacing w:line="540" w:lineRule="exact"/>
        <w:ind w:firstLine="640"/>
        <w:rPr>
          <w:rFonts w:ascii="仿宋_GB2312" w:eastAsia="仿宋_GB2312" w:cs="仿宋_GB2312"/>
          <w:sz w:val="32"/>
          <w:szCs w:val="32"/>
        </w:rPr>
      </w:pPr>
      <w:r>
        <w:rPr>
          <w:rFonts w:ascii="仿宋_GB2312" w:eastAsia="仿宋_GB2312" w:cs="仿宋_GB2312"/>
          <w:sz w:val="32"/>
          <w:szCs w:val="32"/>
        </w:rPr>
        <w:t>2015</w:t>
      </w:r>
      <w:r>
        <w:rPr>
          <w:rFonts w:ascii="仿宋_GB2312" w:eastAsia="仿宋_GB2312" w:cs="仿宋_GB2312" w:hint="eastAsia"/>
          <w:sz w:val="32"/>
          <w:szCs w:val="32"/>
        </w:rPr>
        <w:t>年以来，我院在区委、市检察院的领导下，在区人大及其常委会的监督下，就司法体制改革试点工作进行了认真研究和提前准备，从人员结构、职责设定、职能履行、工作质效四个方面做好改革的准备工作。</w:t>
      </w:r>
    </w:p>
    <w:p w:rsidR="00007F64" w:rsidRPr="007C0C20" w:rsidRDefault="00007F64" w:rsidP="00A55CF7">
      <w:pPr>
        <w:adjustRightInd w:val="0"/>
        <w:snapToGrid w:val="0"/>
        <w:spacing w:line="540" w:lineRule="exact"/>
        <w:ind w:firstLineChars="200" w:firstLine="643"/>
        <w:rPr>
          <w:rFonts w:ascii="楷体_GB2312" w:eastAsia="楷体_GB2312" w:hAnsi="宋体" w:cs="宋体"/>
          <w:b/>
          <w:color w:val="000000"/>
          <w:kern w:val="0"/>
          <w:sz w:val="32"/>
          <w:szCs w:val="32"/>
        </w:rPr>
      </w:pPr>
      <w:r>
        <w:rPr>
          <w:rFonts w:ascii="楷体_GB2312" w:eastAsia="楷体_GB2312" w:hAnsi="宋体" w:cs="宋体" w:hint="eastAsia"/>
          <w:b/>
          <w:color w:val="000000"/>
          <w:kern w:val="0"/>
          <w:sz w:val="32"/>
          <w:szCs w:val="32"/>
        </w:rPr>
        <w:t>一是启动司法改革的前期准备。</w:t>
      </w:r>
      <w:r w:rsidRPr="007B4383">
        <w:rPr>
          <w:rFonts w:ascii="仿宋_GB2312" w:eastAsia="仿宋_GB2312" w:hAnsi="宋体" w:hint="eastAsia"/>
          <w:b/>
          <w:sz w:val="32"/>
          <w:szCs w:val="32"/>
        </w:rPr>
        <w:t>制定检察改革任务分解预案</w:t>
      </w:r>
      <w:r>
        <w:rPr>
          <w:rFonts w:ascii="仿宋_GB2312" w:eastAsia="仿宋_GB2312" w:hAnsi="宋体" w:hint="eastAsia"/>
          <w:sz w:val="32"/>
          <w:szCs w:val="32"/>
        </w:rPr>
        <w:t>，明确深化检察改革的总体目标和重点工作，形成包括检察官办案责任制在内的重点改革工作任务清单，与准备试点的四项改革任务统筹推进。</w:t>
      </w:r>
      <w:r w:rsidRPr="007B4383">
        <w:rPr>
          <w:rFonts w:ascii="仿宋_GB2312" w:eastAsia="仿宋_GB2312" w:hint="eastAsia"/>
          <w:b/>
          <w:sz w:val="32"/>
          <w:szCs w:val="32"/>
        </w:rPr>
        <w:t>分类储备人才</w:t>
      </w:r>
      <w:r>
        <w:rPr>
          <w:rFonts w:ascii="仿宋_GB2312" w:eastAsia="仿宋_GB2312" w:hint="eastAsia"/>
          <w:sz w:val="32"/>
          <w:szCs w:val="32"/>
        </w:rPr>
        <w:t>，通过定向招录，逐步调整人员结构，实现主要力量充实司法办案一线。</w:t>
      </w:r>
      <w:r w:rsidRPr="007B4383">
        <w:rPr>
          <w:rFonts w:ascii="仿宋_GB2312" w:eastAsia="仿宋_GB2312" w:hint="eastAsia"/>
          <w:b/>
          <w:sz w:val="32"/>
          <w:szCs w:val="32"/>
        </w:rPr>
        <w:t>开展人员分类及办案强度测算</w:t>
      </w:r>
      <w:r>
        <w:rPr>
          <w:rFonts w:ascii="仿宋_GB2312" w:eastAsia="仿宋_GB2312" w:hint="eastAsia"/>
          <w:sz w:val="32"/>
          <w:szCs w:val="32"/>
        </w:rPr>
        <w:t>，根据员额制比例，做好案件数量统计测算，初步形成检察官、检察辅助人员的配备比例和数量需求。</w:t>
      </w:r>
      <w:r w:rsidRPr="007B4383">
        <w:rPr>
          <w:rFonts w:ascii="仿宋_GB2312" w:eastAsia="仿宋_GB2312" w:hint="eastAsia"/>
          <w:b/>
          <w:sz w:val="32"/>
          <w:szCs w:val="32"/>
        </w:rPr>
        <w:t>修订完善绩效管理制度</w:t>
      </w:r>
      <w:r>
        <w:rPr>
          <w:rFonts w:ascii="仿宋_GB2312" w:eastAsia="仿宋_GB2312" w:hint="eastAsia"/>
          <w:sz w:val="32"/>
          <w:szCs w:val="32"/>
        </w:rPr>
        <w:t>，根据司法责任制改革实施意见，科学设置绩效评价指标和方式，科学设定指标权重，进一步明确办案责任，突出从严治党要求，强化内外部监督制约，为司法责任制的有效落实奠定了重要的评价基础。</w:t>
      </w:r>
    </w:p>
    <w:p w:rsidR="00007F64" w:rsidRPr="007C0C20" w:rsidRDefault="00007F64" w:rsidP="00A55CF7">
      <w:pPr>
        <w:adjustRightInd w:val="0"/>
        <w:snapToGrid w:val="0"/>
        <w:spacing w:line="540" w:lineRule="exact"/>
        <w:ind w:firstLineChars="200" w:firstLine="643"/>
        <w:rPr>
          <w:rFonts w:ascii="楷体_GB2312" w:eastAsia="楷体_GB2312"/>
          <w:b/>
          <w:sz w:val="32"/>
          <w:szCs w:val="32"/>
        </w:rPr>
      </w:pPr>
      <w:r>
        <w:rPr>
          <w:rFonts w:ascii="楷体_GB2312" w:eastAsia="楷体_GB2312" w:hint="eastAsia"/>
          <w:b/>
          <w:sz w:val="32"/>
          <w:szCs w:val="32"/>
        </w:rPr>
        <w:t>二是完善检察官办案责任制。</w:t>
      </w:r>
      <w:r>
        <w:rPr>
          <w:rFonts w:ascii="仿宋_GB2312" w:eastAsia="仿宋_GB2312" w:hAnsi="宋体" w:cs="宋体" w:hint="eastAsia"/>
          <w:bCs/>
          <w:kern w:val="0"/>
          <w:sz w:val="32"/>
          <w:szCs w:val="32"/>
        </w:rPr>
        <w:t>按照“严格依法、充分放权、有效沟通、强化监督”的工作思路，不断完善和落实检察官办案责任制。</w:t>
      </w:r>
      <w:r>
        <w:rPr>
          <w:rFonts w:ascii="仿宋_GB2312" w:eastAsia="仿宋_GB2312" w:hAnsi="宋体" w:cs="宋体" w:hint="eastAsia"/>
          <w:b/>
          <w:color w:val="000000"/>
          <w:kern w:val="0"/>
          <w:sz w:val="32"/>
          <w:szCs w:val="32"/>
        </w:rPr>
        <w:t>健全办案组织形式，</w:t>
      </w:r>
      <w:r>
        <w:rPr>
          <w:rFonts w:ascii="仿宋_GB2312" w:eastAsia="仿宋_GB2312" w:cs="仿宋_GB2312" w:hint="eastAsia"/>
          <w:sz w:val="32"/>
          <w:szCs w:val="32"/>
        </w:rPr>
        <w:t>设置检察官办案组和独任检察官两种基本的办案组织形式，科学配置人力资源，优先保障办案一线，公诉部门和办案组织实行专业化分工。</w:t>
      </w:r>
      <w:r>
        <w:rPr>
          <w:rFonts w:ascii="仿宋_GB2312" w:eastAsia="仿宋_GB2312" w:hAnsi="宋体" w:cs="宋体" w:hint="eastAsia"/>
          <w:b/>
          <w:color w:val="000000"/>
          <w:kern w:val="0"/>
          <w:sz w:val="32"/>
          <w:szCs w:val="32"/>
        </w:rPr>
        <w:t>明晰内部各层级职责权限，</w:t>
      </w:r>
      <w:r>
        <w:rPr>
          <w:rFonts w:ascii="仿宋_GB2312" w:eastAsia="仿宋_GB2312" w:hAnsi="宋体" w:hint="eastAsia"/>
          <w:sz w:val="32"/>
          <w:szCs w:val="32"/>
        </w:rPr>
        <w:t>公诉部门</w:t>
      </w:r>
      <w:r>
        <w:rPr>
          <w:rFonts w:ascii="仿宋_GB2312" w:eastAsia="仿宋_GB2312" w:hAnsi="宋体" w:cs="宋体" w:hint="eastAsia"/>
          <w:bCs/>
          <w:kern w:val="0"/>
          <w:sz w:val="32"/>
          <w:szCs w:val="32"/>
        </w:rPr>
        <w:t>合理设定权责，充实主任检察官权责清单，取消部门负责人对具体案件的审批权，进一步</w:t>
      </w:r>
      <w:r>
        <w:rPr>
          <w:rFonts w:ascii="仿宋_GB2312" w:eastAsia="仿宋_GB2312" w:hAnsi="宋体" w:cs="宋体" w:hint="eastAsia"/>
          <w:color w:val="000000"/>
          <w:kern w:val="0"/>
          <w:sz w:val="32"/>
          <w:szCs w:val="32"/>
        </w:rPr>
        <w:t>突出检察官办案主体地位</w:t>
      </w:r>
      <w:r>
        <w:rPr>
          <w:rFonts w:ascii="仿宋_GB2312" w:eastAsia="仿宋_GB2312" w:hAnsi="宋体" w:cs="宋体" w:hint="eastAsia"/>
          <w:bCs/>
          <w:kern w:val="0"/>
          <w:sz w:val="32"/>
          <w:szCs w:val="32"/>
        </w:rPr>
        <w:t>。</w:t>
      </w:r>
      <w:r>
        <w:rPr>
          <w:rFonts w:ascii="仿宋_GB2312" w:eastAsia="仿宋_GB2312" w:hAnsi="宋体" w:cs="宋体" w:hint="eastAsia"/>
          <w:b/>
          <w:bCs/>
          <w:kern w:val="0"/>
          <w:sz w:val="32"/>
          <w:szCs w:val="32"/>
        </w:rPr>
        <w:t>进一步严格办案要求</w:t>
      </w:r>
      <w:r>
        <w:rPr>
          <w:rFonts w:ascii="仿宋_GB2312" w:eastAsia="仿宋_GB2312" w:hAnsi="宋体" w:cs="宋体" w:hint="eastAsia"/>
          <w:bCs/>
          <w:kern w:val="0"/>
          <w:sz w:val="32"/>
          <w:szCs w:val="32"/>
        </w:rPr>
        <w:t>，规定检察官对其负责的案件应当做到两个“必须”，必须承担亲历责任，即本人必须参与阅卷、提讯犯罪嫌疑人等重要事项；必须达到一定办案数量标准。</w:t>
      </w:r>
      <w:r>
        <w:rPr>
          <w:rFonts w:ascii="仿宋_GB2312" w:eastAsia="仿宋_GB2312" w:hAnsi="宋体" w:cs="宋体" w:hint="eastAsia"/>
          <w:b/>
          <w:bCs/>
          <w:kern w:val="0"/>
          <w:sz w:val="32"/>
          <w:szCs w:val="32"/>
        </w:rPr>
        <w:t>强化内部监督制约</w:t>
      </w:r>
      <w:r>
        <w:rPr>
          <w:rFonts w:ascii="仿宋_GB2312" w:eastAsia="仿宋_GB2312" w:hAnsi="宋体" w:cs="宋体" w:hint="eastAsia"/>
          <w:bCs/>
          <w:kern w:val="0"/>
          <w:sz w:val="32"/>
          <w:szCs w:val="32"/>
        </w:rPr>
        <w:t>。建立“</w:t>
      </w:r>
      <w:r>
        <w:rPr>
          <w:rFonts w:ascii="仿宋_GB2312" w:eastAsia="仿宋_GB2312" w:hAnsi="宋体" w:cs="宋体"/>
          <w:bCs/>
          <w:kern w:val="0"/>
          <w:sz w:val="32"/>
          <w:szCs w:val="32"/>
        </w:rPr>
        <w:t>1+5</w:t>
      </w:r>
      <w:r>
        <w:rPr>
          <w:rFonts w:ascii="仿宋_GB2312" w:eastAsia="仿宋_GB2312" w:hAnsi="宋体" w:cs="宋体" w:hint="eastAsia"/>
          <w:bCs/>
          <w:kern w:val="0"/>
          <w:sz w:val="32"/>
          <w:szCs w:val="32"/>
        </w:rPr>
        <w:t>”内部监督管理体系，除部门负责人对案件质量进行常态监督外，</w:t>
      </w:r>
      <w:r>
        <w:rPr>
          <w:rFonts w:ascii="仿宋_GB2312" w:eastAsia="仿宋_GB2312" w:hAnsi="仿宋" w:cs="仿宋_GB2312" w:hint="eastAsia"/>
          <w:sz w:val="32"/>
          <w:szCs w:val="32"/>
        </w:rPr>
        <w:t>分别通过案件质量评查、案件集中管理、控告申诉反向审视、羁押期限检察、检务督察等对案件办理开展全方位监督，确保检察权依法正确行使。</w:t>
      </w:r>
      <w:r>
        <w:rPr>
          <w:rFonts w:ascii="仿宋_GB2312" w:eastAsia="仿宋_GB2312" w:hAnsi="宋体" w:hint="eastAsia"/>
          <w:b/>
          <w:sz w:val="32"/>
          <w:szCs w:val="32"/>
        </w:rPr>
        <w:t>建立主任检察官联席会议机制</w:t>
      </w:r>
      <w:r>
        <w:rPr>
          <w:rFonts w:ascii="仿宋_GB2312" w:eastAsia="仿宋_GB2312" w:hAnsi="宋体" w:hint="eastAsia"/>
          <w:sz w:val="32"/>
          <w:szCs w:val="32"/>
        </w:rPr>
        <w:t>，发挥集体智慧，讨论重大疑难复杂案件，为检察官办理案件提供有益参考。</w:t>
      </w:r>
    </w:p>
    <w:p w:rsidR="00007F64" w:rsidRPr="007C0C20" w:rsidRDefault="00007F64" w:rsidP="00A55CF7">
      <w:pPr>
        <w:adjustRightInd w:val="0"/>
        <w:snapToGrid w:val="0"/>
        <w:spacing w:line="540" w:lineRule="exact"/>
        <w:ind w:firstLineChars="200" w:firstLine="643"/>
        <w:rPr>
          <w:rFonts w:ascii="楷体_GB2312" w:eastAsia="楷体_GB2312"/>
          <w:b/>
          <w:sz w:val="32"/>
          <w:szCs w:val="32"/>
        </w:rPr>
      </w:pPr>
      <w:r>
        <w:rPr>
          <w:rFonts w:ascii="楷体_GB2312" w:eastAsia="楷体_GB2312" w:hint="eastAsia"/>
          <w:b/>
          <w:sz w:val="32"/>
          <w:szCs w:val="32"/>
        </w:rPr>
        <w:t>三是积极应对以审判为中心的诉讼制度改革。</w:t>
      </w:r>
      <w:r w:rsidRPr="007B4383">
        <w:rPr>
          <w:rFonts w:ascii="仿宋_GB2312" w:eastAsia="仿宋_GB2312" w:hint="eastAsia"/>
          <w:sz w:val="32"/>
          <w:szCs w:val="32"/>
        </w:rPr>
        <w:t>针对实践中司法标准随意、入罪门槛较低导致区域刑事案件总量居高不下的突出问题，围绕提高刑事案件质量，依法控制刑事案件增量，制定《应对审判中心诉讼制度改革的实施意见》</w:t>
      </w:r>
      <w:r>
        <w:rPr>
          <w:rFonts w:ascii="仿宋_GB2312" w:eastAsia="仿宋_GB2312" w:hint="eastAsia"/>
          <w:sz w:val="32"/>
          <w:szCs w:val="32"/>
        </w:rPr>
        <w:t>，强化检察机关在审前程序中的主导作用和在审判程序中指控犯罪的主体作用。</w:t>
      </w:r>
      <w:r>
        <w:rPr>
          <w:rFonts w:ascii="仿宋_GB2312" w:eastAsia="仿宋_GB2312" w:hint="eastAsia"/>
          <w:b/>
          <w:color w:val="000000"/>
          <w:sz w:val="32"/>
          <w:szCs w:val="32"/>
        </w:rPr>
        <w:t>坚持源头就是底线</w:t>
      </w:r>
      <w:r>
        <w:rPr>
          <w:rFonts w:ascii="仿宋_GB2312" w:eastAsia="仿宋_GB2312" w:hint="eastAsia"/>
          <w:color w:val="000000"/>
          <w:sz w:val="32"/>
          <w:szCs w:val="32"/>
        </w:rPr>
        <w:t>，</w:t>
      </w:r>
      <w:r>
        <w:rPr>
          <w:rFonts w:ascii="仿宋_GB2312" w:eastAsia="仿宋_GB2312" w:hint="eastAsia"/>
          <w:sz w:val="32"/>
          <w:szCs w:val="32"/>
        </w:rPr>
        <w:t>树立“大控方”的理念，建立完善案件提前介入、引导侦查取证机制，从源头上保证刑事案件的质量，</w:t>
      </w:r>
      <w:r>
        <w:rPr>
          <w:rFonts w:ascii="仿宋_GB2312" w:eastAsia="仿宋_GB2312"/>
          <w:sz w:val="32"/>
          <w:szCs w:val="32"/>
        </w:rPr>
        <w:t>2015</w:t>
      </w:r>
      <w:r>
        <w:rPr>
          <w:rFonts w:ascii="仿宋_GB2312" w:eastAsia="仿宋_GB2312" w:hint="eastAsia"/>
          <w:sz w:val="32"/>
          <w:szCs w:val="32"/>
        </w:rPr>
        <w:t>以来，提前介入侦查</w:t>
      </w:r>
      <w:r>
        <w:rPr>
          <w:rFonts w:ascii="仿宋_GB2312" w:eastAsia="仿宋_GB2312"/>
          <w:sz w:val="32"/>
          <w:szCs w:val="32"/>
        </w:rPr>
        <w:t>60</w:t>
      </w:r>
      <w:r>
        <w:rPr>
          <w:rFonts w:ascii="仿宋_GB2312" w:eastAsia="仿宋_GB2312" w:hint="eastAsia"/>
          <w:sz w:val="32"/>
          <w:szCs w:val="32"/>
        </w:rPr>
        <w:t>余件。</w:t>
      </w:r>
      <w:r>
        <w:rPr>
          <w:rFonts w:ascii="仿宋_GB2312" w:eastAsia="仿宋_GB2312" w:hint="eastAsia"/>
          <w:b/>
          <w:color w:val="000000"/>
          <w:sz w:val="32"/>
          <w:szCs w:val="32"/>
        </w:rPr>
        <w:t>推动统一司法尺度，强化侦查监督</w:t>
      </w:r>
      <w:r>
        <w:rPr>
          <w:rFonts w:ascii="仿宋_GB2312" w:eastAsia="仿宋_GB2312" w:hint="eastAsia"/>
          <w:color w:val="000000"/>
          <w:sz w:val="32"/>
          <w:szCs w:val="32"/>
        </w:rPr>
        <w:t>，</w:t>
      </w:r>
      <w:r>
        <w:rPr>
          <w:rFonts w:ascii="仿宋_GB2312" w:eastAsia="仿宋_GB2312" w:hAnsi="宋体" w:cs="宋体" w:hint="eastAsia"/>
          <w:kern w:val="0"/>
          <w:sz w:val="32"/>
        </w:rPr>
        <w:t>集中对刑事案件办理中出现的典型问题进行汇总整理，重点围绕证据标准、诉讼程序规范和刑事政策运用等问题与区公安分局、区法院研究磋商，</w:t>
      </w:r>
      <w:r>
        <w:rPr>
          <w:rFonts w:ascii="仿宋_GB2312" w:eastAsia="仿宋_GB2312" w:hAnsi="仿宋" w:hint="eastAsia"/>
          <w:color w:val="000000"/>
          <w:sz w:val="32"/>
          <w:szCs w:val="32"/>
        </w:rPr>
        <w:t>会</w:t>
      </w:r>
      <w:r>
        <w:rPr>
          <w:rFonts w:ascii="仿宋_GB2312" w:eastAsia="仿宋_GB2312" w:hint="eastAsia"/>
          <w:color w:val="000000"/>
          <w:sz w:val="32"/>
          <w:szCs w:val="32"/>
        </w:rPr>
        <w:t>签《关于隐匿身份侦查使用规则》、</w:t>
      </w:r>
      <w:r>
        <w:rPr>
          <w:rFonts w:ascii="仿宋_GB2312" w:eastAsia="仿宋_GB2312" w:hAnsi="宋体" w:cs="宋体" w:hint="eastAsia"/>
          <w:kern w:val="0"/>
          <w:sz w:val="32"/>
        </w:rPr>
        <w:t>《关于补充侦查工作规则》、《关于恶意透支型信用卡诈骗罪、妨害公务罪、拒不执行判决、裁定罪、盗窃自行车等系列案件办理标准》等</w:t>
      </w:r>
      <w:r>
        <w:rPr>
          <w:rFonts w:ascii="仿宋_GB2312" w:eastAsia="仿宋_GB2312" w:hAnsi="宋体" w:cs="宋体"/>
          <w:kern w:val="0"/>
          <w:sz w:val="32"/>
        </w:rPr>
        <w:t>9</w:t>
      </w:r>
      <w:r>
        <w:rPr>
          <w:rFonts w:ascii="仿宋_GB2312" w:eastAsia="仿宋_GB2312" w:hAnsi="宋体" w:cs="宋体" w:hint="eastAsia"/>
          <w:kern w:val="0"/>
          <w:sz w:val="32"/>
        </w:rPr>
        <w:t>个规范性文件，在辖区内规范相关侦查行为，统一案件处理标准</w:t>
      </w:r>
      <w:r>
        <w:rPr>
          <w:rFonts w:ascii="仿宋_GB2312" w:eastAsia="仿宋_GB2312" w:hint="eastAsia"/>
          <w:color w:val="000000"/>
          <w:sz w:val="32"/>
          <w:szCs w:val="32"/>
        </w:rPr>
        <w:t>。</w:t>
      </w:r>
    </w:p>
    <w:p w:rsidR="00007F64" w:rsidRPr="007C0C20" w:rsidRDefault="00007F64" w:rsidP="00A55CF7">
      <w:pPr>
        <w:adjustRightInd w:val="0"/>
        <w:snapToGrid w:val="0"/>
        <w:spacing w:line="540" w:lineRule="exact"/>
        <w:ind w:firstLineChars="200" w:firstLine="643"/>
        <w:rPr>
          <w:rFonts w:ascii="楷体_GB2312" w:eastAsia="楷体_GB2312"/>
          <w:b/>
          <w:sz w:val="32"/>
          <w:szCs w:val="32"/>
        </w:rPr>
      </w:pPr>
      <w:r>
        <w:rPr>
          <w:rFonts w:ascii="楷体_GB2312" w:eastAsia="楷体_GB2312" w:hint="eastAsia"/>
          <w:b/>
          <w:sz w:val="32"/>
          <w:szCs w:val="32"/>
        </w:rPr>
        <w:t>四是推进刑事案件速裁程序的适用。</w:t>
      </w:r>
      <w:r>
        <w:rPr>
          <w:rFonts w:ascii="仿宋_GB2312" w:eastAsia="仿宋_GB2312" w:hAnsi="宋体" w:cs="宋体" w:hint="eastAsia"/>
          <w:kern w:val="0"/>
          <w:sz w:val="32"/>
        </w:rPr>
        <w:t>坚持繁简分流，除对于法院独任审判的适用简易程序案件继续实行专职公诉人出庭模式外，重点推进刑事速裁改革试点。</w:t>
      </w:r>
      <w:r>
        <w:rPr>
          <w:rFonts w:ascii="仿宋_GB2312" w:eastAsia="仿宋_GB2312" w:hAnsi="宋体" w:hint="eastAsia"/>
          <w:b/>
          <w:sz w:val="32"/>
          <w:szCs w:val="32"/>
        </w:rPr>
        <w:t>实现“三个集中”</w:t>
      </w:r>
      <w:r>
        <w:rPr>
          <w:rFonts w:ascii="仿宋_GB2312" w:eastAsia="仿宋_GB2312" w:hAnsi="宋体" w:hint="eastAsia"/>
          <w:sz w:val="32"/>
          <w:szCs w:val="32"/>
        </w:rPr>
        <w:t>，</w:t>
      </w:r>
      <w:r>
        <w:rPr>
          <w:rFonts w:ascii="仿宋_GB2312" w:eastAsia="仿宋_GB2312" w:hAnsi="宋体" w:cs="宋体" w:hint="eastAsia"/>
          <w:kern w:val="0"/>
          <w:sz w:val="32"/>
          <w:szCs w:val="32"/>
        </w:rPr>
        <w:t>会同法院、公安、司法局在海淀区看守所内设立刑事案件速裁办公室，做到办案地点集中、办案时间集中、办案保障集中。</w:t>
      </w:r>
      <w:r>
        <w:rPr>
          <w:rFonts w:ascii="仿宋_GB2312" w:eastAsia="仿宋_GB2312" w:hAnsi="宋体" w:cs="宋体" w:hint="eastAsia"/>
          <w:b/>
          <w:kern w:val="0"/>
          <w:sz w:val="32"/>
          <w:szCs w:val="32"/>
        </w:rPr>
        <w:t>优化诉讼流程</w:t>
      </w:r>
      <w:r>
        <w:rPr>
          <w:rFonts w:ascii="仿宋_GB2312" w:eastAsia="仿宋_GB2312" w:hAnsi="宋体" w:cs="宋体" w:hint="eastAsia"/>
          <w:kern w:val="0"/>
          <w:sz w:val="32"/>
          <w:szCs w:val="32"/>
        </w:rPr>
        <w:t>，</w:t>
      </w:r>
      <w:r>
        <w:rPr>
          <w:rFonts w:ascii="仿宋_GB2312" w:eastAsia="仿宋_GB2312" w:hint="eastAsia"/>
          <w:sz w:val="32"/>
          <w:szCs w:val="32"/>
        </w:rPr>
        <w:t>实行速裁案件办案组轮值制，简化文书制作、实现速裁案件证据、文书直接送达和快速流转，平均审查起诉用时两个工作日，公检法三机关平均用时七个工作日</w:t>
      </w:r>
      <w:r>
        <w:rPr>
          <w:rFonts w:ascii="仿宋_GB2312" w:eastAsia="仿宋_GB2312" w:hAnsi="宋体" w:hint="eastAsia"/>
          <w:sz w:val="32"/>
          <w:szCs w:val="32"/>
        </w:rPr>
        <w:t>。</w:t>
      </w:r>
      <w:r>
        <w:rPr>
          <w:rFonts w:ascii="仿宋_GB2312" w:eastAsia="仿宋_GB2312" w:hAnsi="宋体" w:hint="eastAsia"/>
          <w:b/>
          <w:sz w:val="32"/>
          <w:szCs w:val="32"/>
        </w:rPr>
        <w:t>强化人权保障</w:t>
      </w:r>
      <w:r>
        <w:rPr>
          <w:rFonts w:ascii="仿宋_GB2312" w:eastAsia="仿宋_GB2312" w:hAnsi="宋体" w:hint="eastAsia"/>
          <w:sz w:val="32"/>
          <w:szCs w:val="32"/>
        </w:rPr>
        <w:t>，</w:t>
      </w:r>
      <w:r>
        <w:rPr>
          <w:rFonts w:ascii="仿宋_GB2312" w:eastAsia="仿宋_GB2312" w:hint="eastAsia"/>
          <w:sz w:val="32"/>
          <w:szCs w:val="32"/>
        </w:rPr>
        <w:t>联合司法局在看守所建立值班律师制度，突出犯罪嫌疑人和被告人的权益保障。</w:t>
      </w:r>
      <w:r>
        <w:rPr>
          <w:rFonts w:ascii="仿宋_GB2312" w:eastAsia="仿宋_GB2312" w:hAnsi="宋体" w:hint="eastAsia"/>
          <w:b/>
          <w:sz w:val="32"/>
          <w:szCs w:val="32"/>
        </w:rPr>
        <w:t>依法充分适用</w:t>
      </w:r>
      <w:r>
        <w:rPr>
          <w:rFonts w:ascii="仿宋_GB2312" w:eastAsia="仿宋_GB2312" w:hAnsi="宋体" w:hint="eastAsia"/>
          <w:sz w:val="32"/>
          <w:szCs w:val="32"/>
        </w:rPr>
        <w:t>，</w:t>
      </w:r>
      <w:r>
        <w:rPr>
          <w:rFonts w:ascii="仿宋_GB2312" w:eastAsia="仿宋_GB2312" w:hAnsi="宋体" w:cs="宋体" w:hint="eastAsia"/>
          <w:kern w:val="0"/>
          <w:sz w:val="32"/>
          <w:szCs w:val="32"/>
        </w:rPr>
        <w:t>自行启动速裁程序，探索尝试多种案件类型，适用速裁程序的案件数量和比例不断提升。形成了以公检法集中地点、免费法律服务、量刑协商、集中办案、简化诉讼文书、快速结案等为特色的海淀速裁模式，得到中央政法委孟建柱书记、市委政法委及市检察院充分肯定。此外，我院还将推动</w:t>
      </w:r>
      <w:r w:rsidRPr="00BD4065">
        <w:rPr>
          <w:rFonts w:ascii="仿宋_GB2312" w:eastAsia="仿宋_GB2312" w:hAnsi="宋体" w:cs="宋体" w:hint="eastAsia"/>
          <w:kern w:val="0"/>
          <w:sz w:val="32"/>
          <w:szCs w:val="32"/>
        </w:rPr>
        <w:t>检察环节的</w:t>
      </w:r>
      <w:r w:rsidRPr="00BD4065">
        <w:rPr>
          <w:rFonts w:ascii="仿宋_GB2312" w:eastAsia="仿宋_GB2312" w:hAnsi="宋体" w:cs="宋体" w:hint="eastAsia"/>
          <w:b/>
          <w:kern w:val="0"/>
          <w:sz w:val="32"/>
          <w:szCs w:val="32"/>
        </w:rPr>
        <w:t>认罪认罚从宽处理机制</w:t>
      </w:r>
      <w:r>
        <w:rPr>
          <w:rFonts w:ascii="仿宋_GB2312" w:eastAsia="仿宋_GB2312" w:hAnsi="宋体" w:cs="宋体" w:hint="eastAsia"/>
          <w:kern w:val="0"/>
          <w:sz w:val="32"/>
          <w:szCs w:val="32"/>
        </w:rPr>
        <w:t>。</w:t>
      </w:r>
      <w:r w:rsidRPr="00BD4065">
        <w:rPr>
          <w:rFonts w:ascii="仿宋_GB2312" w:eastAsia="仿宋_GB2312" w:hAnsi="宋体" w:cs="宋体" w:hint="eastAsia"/>
          <w:kern w:val="0"/>
          <w:sz w:val="32"/>
          <w:szCs w:val="32"/>
        </w:rPr>
        <w:t>结合办案实际，形成对认罪认罚犯罪嫌疑人适用不批捕、不起诉的实体标准，注重认罪认罚从宽处理机制和刑事案件速裁程序的有机衔接，在保障律师权利、强化对办案全过程司法监督的基础上，</w:t>
      </w:r>
      <w:r>
        <w:rPr>
          <w:rFonts w:ascii="仿宋_GB2312" w:eastAsia="仿宋_GB2312" w:hAnsi="宋体" w:cs="宋体" w:hint="eastAsia"/>
          <w:kern w:val="0"/>
          <w:sz w:val="32"/>
          <w:szCs w:val="32"/>
        </w:rPr>
        <w:t>进一步</w:t>
      </w:r>
      <w:r w:rsidRPr="00BD4065">
        <w:rPr>
          <w:rFonts w:ascii="仿宋_GB2312" w:eastAsia="仿宋_GB2312" w:hAnsi="宋体" w:cs="宋体" w:hint="eastAsia"/>
          <w:kern w:val="0"/>
          <w:sz w:val="32"/>
          <w:szCs w:val="32"/>
        </w:rPr>
        <w:t>简化诉讼程序，提高司法效率。</w:t>
      </w:r>
    </w:p>
    <w:p w:rsidR="00007F64" w:rsidRDefault="00007F64" w:rsidP="00A55CF7">
      <w:pPr>
        <w:adjustRightInd w:val="0"/>
        <w:snapToGrid w:val="0"/>
        <w:spacing w:line="540" w:lineRule="exact"/>
        <w:ind w:firstLineChars="200" w:firstLine="640"/>
        <w:rPr>
          <w:rFonts w:ascii="黑体" w:eastAsia="黑体"/>
          <w:sz w:val="32"/>
          <w:szCs w:val="32"/>
        </w:rPr>
      </w:pPr>
      <w:r>
        <w:rPr>
          <w:rFonts w:ascii="黑体" w:eastAsia="黑体" w:cs="黑体" w:hint="eastAsia"/>
          <w:sz w:val="32"/>
          <w:szCs w:val="32"/>
        </w:rPr>
        <w:t>三、改革的问题预判与应对</w:t>
      </w:r>
    </w:p>
    <w:p w:rsidR="00007F64" w:rsidRDefault="00007F64" w:rsidP="00A55CF7">
      <w:pPr>
        <w:adjustRightInd w:val="0"/>
        <w:snapToGrid w:val="0"/>
        <w:spacing w:line="54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司法体制改革是体制性的根本变革，涉及面广，问题多且复杂，预判的主要问题有：</w:t>
      </w:r>
    </w:p>
    <w:p w:rsidR="00007F64" w:rsidRDefault="00007F64" w:rsidP="00A55CF7">
      <w:pPr>
        <w:adjustRightInd w:val="0"/>
        <w:snapToGrid w:val="0"/>
        <w:spacing w:line="540" w:lineRule="exact"/>
        <w:ind w:firstLineChars="200" w:firstLine="643"/>
        <w:rPr>
          <w:rFonts w:ascii="仿宋_GB2312" w:eastAsia="仿宋_GB2312" w:cs="仿宋_GB2312"/>
          <w:sz w:val="32"/>
          <w:szCs w:val="32"/>
        </w:rPr>
      </w:pPr>
      <w:r>
        <w:rPr>
          <w:rFonts w:ascii="仿宋_GB2312" w:eastAsia="仿宋_GB2312" w:cs="仿宋_GB2312" w:hint="eastAsia"/>
          <w:b/>
          <w:sz w:val="32"/>
          <w:szCs w:val="32"/>
        </w:rPr>
        <w:t>一是工作强度将会加大</w:t>
      </w:r>
      <w:r>
        <w:rPr>
          <w:rFonts w:ascii="仿宋_GB2312" w:eastAsia="仿宋_GB2312" w:cs="仿宋_GB2312" w:hint="eastAsia"/>
          <w:sz w:val="32"/>
          <w:szCs w:val="32"/>
        </w:rPr>
        <w:t>。根据中央确定的员额比例，检察官数量将大为减少。我院刑事案件受理数量占全市的近五分之一，现有从事业务工作的检察员、助理检察员共计</w:t>
      </w:r>
      <w:r>
        <w:rPr>
          <w:rFonts w:ascii="仿宋_GB2312" w:eastAsia="仿宋_GB2312" w:cs="仿宋_GB2312"/>
          <w:sz w:val="32"/>
          <w:szCs w:val="32"/>
        </w:rPr>
        <w:t>245</w:t>
      </w:r>
      <w:r>
        <w:rPr>
          <w:rFonts w:ascii="仿宋_GB2312" w:eastAsia="仿宋_GB2312" w:cs="仿宋_GB2312" w:hint="eastAsia"/>
          <w:sz w:val="32"/>
          <w:szCs w:val="32"/>
        </w:rPr>
        <w:t>人。司法改革后，首批进入员额的检察官数量仅为</w:t>
      </w:r>
      <w:r>
        <w:rPr>
          <w:rFonts w:ascii="仿宋_GB2312" w:eastAsia="仿宋_GB2312" w:cs="仿宋_GB2312"/>
          <w:sz w:val="32"/>
          <w:szCs w:val="32"/>
        </w:rPr>
        <w:t>120</w:t>
      </w:r>
      <w:r>
        <w:rPr>
          <w:rFonts w:ascii="仿宋_GB2312" w:eastAsia="仿宋_GB2312" w:cs="仿宋_GB2312" w:hint="eastAsia"/>
          <w:sz w:val="32"/>
          <w:szCs w:val="32"/>
        </w:rPr>
        <w:t>人，按照办案责任制和办案亲历性的要求，检察官的工作强度势必会加大。</w:t>
      </w:r>
    </w:p>
    <w:p w:rsidR="00007F64" w:rsidRDefault="00007F64" w:rsidP="00A55CF7">
      <w:pPr>
        <w:adjustRightInd w:val="0"/>
        <w:snapToGrid w:val="0"/>
        <w:spacing w:line="540" w:lineRule="exact"/>
        <w:ind w:firstLineChars="200" w:firstLine="643"/>
        <w:rPr>
          <w:rFonts w:ascii="仿宋_GB2312" w:eastAsia="仿宋_GB2312" w:cs="仿宋_GB2312"/>
          <w:sz w:val="32"/>
          <w:szCs w:val="32"/>
        </w:rPr>
      </w:pPr>
      <w:r>
        <w:rPr>
          <w:rFonts w:ascii="仿宋_GB2312" w:eastAsia="仿宋_GB2312" w:cs="仿宋_GB2312" w:hint="eastAsia"/>
          <w:b/>
          <w:sz w:val="32"/>
          <w:szCs w:val="32"/>
        </w:rPr>
        <w:t>二是决策能力需要加强</w:t>
      </w:r>
      <w:r>
        <w:rPr>
          <w:rFonts w:ascii="仿宋_GB2312" w:eastAsia="仿宋_GB2312" w:cs="仿宋_GB2312" w:hint="eastAsia"/>
          <w:sz w:val="32"/>
          <w:szCs w:val="32"/>
        </w:rPr>
        <w:t>。一方面遇到重大疑难复杂案件，有的检察官可能还是不敢承担责任、不敢拿意见，渴望部门负责人、检察长、检察委员会继续把关；另一方面检察长、部门负责人放权不实，出于担心案件质量、思维惯性等因素，虽然不履行审批程序，但可能还存在对案件下达指示的现象。</w:t>
      </w:r>
    </w:p>
    <w:p w:rsidR="00007F64" w:rsidRDefault="00007F64" w:rsidP="00A55CF7">
      <w:pPr>
        <w:adjustRightInd w:val="0"/>
        <w:snapToGrid w:val="0"/>
        <w:spacing w:line="540" w:lineRule="exact"/>
        <w:ind w:firstLineChars="200" w:firstLine="643"/>
        <w:rPr>
          <w:rFonts w:ascii="仿宋_GB2312" w:eastAsia="仿宋_GB2312" w:cs="仿宋_GB2312"/>
          <w:sz w:val="32"/>
          <w:szCs w:val="32"/>
        </w:rPr>
      </w:pPr>
      <w:r>
        <w:rPr>
          <w:rFonts w:ascii="仿宋_GB2312" w:eastAsia="仿宋_GB2312" w:cs="仿宋_GB2312" w:hint="eastAsia"/>
          <w:b/>
          <w:sz w:val="32"/>
          <w:szCs w:val="32"/>
        </w:rPr>
        <w:t>三是队伍管理的难度将会增大</w:t>
      </w:r>
      <w:r>
        <w:rPr>
          <w:rFonts w:ascii="仿宋_GB2312" w:eastAsia="仿宋_GB2312" w:cs="仿宋_GB2312" w:hint="eastAsia"/>
          <w:sz w:val="32"/>
          <w:szCs w:val="32"/>
        </w:rPr>
        <w:t>。员额制改革就是要选出最优秀的人员来办案，部分检察人员势必会因为各种原因不能再担任检察官，同时，检察辅助人员和司法行政人员也是检察工作的重要保障力量，也需要关注他们的职业发展和保障。此外，行政化的内部监督方式改变后，新的监督机制发生作用还需要时间，但检察官的权力已经加大，这导致检察官擅权和腐败的风险有所增加。</w:t>
      </w:r>
    </w:p>
    <w:p w:rsidR="00007F64" w:rsidRDefault="00007F64" w:rsidP="00A55CF7">
      <w:pPr>
        <w:adjustRightInd w:val="0"/>
        <w:snapToGrid w:val="0"/>
        <w:spacing w:line="540" w:lineRule="exact"/>
        <w:ind w:firstLineChars="200" w:firstLine="643"/>
        <w:rPr>
          <w:rFonts w:eastAsia="仿宋_GB2312"/>
          <w:sz w:val="32"/>
          <w:szCs w:val="32"/>
        </w:rPr>
      </w:pPr>
      <w:r>
        <w:rPr>
          <w:rFonts w:ascii="仿宋_GB2312" w:eastAsia="仿宋_GB2312" w:cs="仿宋_GB2312" w:hint="eastAsia"/>
          <w:b/>
          <w:sz w:val="32"/>
          <w:szCs w:val="32"/>
        </w:rPr>
        <w:t>四是内部管理的方式将面临较大调整</w:t>
      </w:r>
      <w:r>
        <w:rPr>
          <w:rFonts w:ascii="仿宋_GB2312" w:eastAsia="仿宋_GB2312" w:cs="仿宋_GB2312" w:hint="eastAsia"/>
          <w:sz w:val="32"/>
          <w:szCs w:val="32"/>
        </w:rPr>
        <w:t>。随着办案层级的减少，内设机构将趋向扁平化，一些担任部门领导职务的检察人员可能会逐渐过渡为员额制检察官，</w:t>
      </w:r>
      <w:r>
        <w:rPr>
          <w:rFonts w:eastAsia="仿宋_GB2312" w:hint="eastAsia"/>
          <w:sz w:val="32"/>
          <w:szCs w:val="32"/>
        </w:rPr>
        <w:t>部门负责人主要职责将变为业务管理、行政管理和队伍建设，不再对检察官所办案件进行审批。改革的目标既要适当去行政化，又不能放松业务管理，如何正确处理两者之间的关系，需要我们进一步研究。</w:t>
      </w:r>
    </w:p>
    <w:p w:rsidR="00007F64" w:rsidRDefault="00007F64" w:rsidP="00A55CF7">
      <w:pPr>
        <w:adjustRightInd w:val="0"/>
        <w:snapToGrid w:val="0"/>
        <w:spacing w:line="540" w:lineRule="exact"/>
        <w:ind w:firstLineChars="200" w:firstLine="643"/>
        <w:rPr>
          <w:rFonts w:ascii="仿宋_GB2312" w:eastAsia="仿宋_GB2312" w:cs="仿宋_GB2312"/>
          <w:b/>
          <w:sz w:val="32"/>
          <w:szCs w:val="32"/>
        </w:rPr>
      </w:pPr>
      <w:r>
        <w:rPr>
          <w:rFonts w:ascii="仿宋_GB2312" w:eastAsia="仿宋_GB2312" w:cs="仿宋_GB2312" w:hint="eastAsia"/>
          <w:b/>
          <w:sz w:val="32"/>
          <w:szCs w:val="32"/>
        </w:rPr>
        <w:t>五是司法行政工作难度增加。</w:t>
      </w:r>
      <w:r>
        <w:rPr>
          <w:rFonts w:eastAsia="仿宋_GB2312" w:hint="eastAsia"/>
          <w:sz w:val="32"/>
          <w:szCs w:val="32"/>
        </w:rPr>
        <w:t>员额制改革实施后，出于职业发展考虑，部分具有法律职务的司法行政骨干人员将回归业务部门，司法行政部门力量大幅削弱，对于后期司法改革工作任务的实施产生不利的影响。</w:t>
      </w:r>
    </w:p>
    <w:p w:rsidR="00007F64" w:rsidRDefault="00007F64" w:rsidP="00A55CF7">
      <w:pPr>
        <w:adjustRightInd w:val="0"/>
        <w:snapToGrid w:val="0"/>
        <w:spacing w:line="540" w:lineRule="exact"/>
        <w:ind w:firstLineChars="200" w:firstLine="640"/>
        <w:rPr>
          <w:rFonts w:ascii="仿宋_GB2312" w:eastAsia="仿宋_GB2312"/>
          <w:sz w:val="32"/>
          <w:szCs w:val="32"/>
        </w:rPr>
      </w:pPr>
      <w:r>
        <w:rPr>
          <w:rFonts w:ascii="仿宋_GB2312" w:eastAsia="仿宋_GB2312" w:hint="eastAsia"/>
          <w:sz w:val="32"/>
          <w:szCs w:val="32"/>
        </w:rPr>
        <w:t>下一步正式启动改革后，我院将在巩固深化前期改革成果，同步完善配套改革措施的基础上，重点从以下方面开展工作：</w:t>
      </w:r>
    </w:p>
    <w:p w:rsidR="00007F64" w:rsidRDefault="00007F64" w:rsidP="00A55CF7">
      <w:pPr>
        <w:adjustRightInd w:val="0"/>
        <w:snapToGrid w:val="0"/>
        <w:spacing w:line="540" w:lineRule="exact"/>
        <w:ind w:firstLineChars="200" w:firstLine="643"/>
        <w:rPr>
          <w:rFonts w:ascii="仿宋_GB2312" w:eastAsia="仿宋_GB2312" w:cs="仿宋_GB2312"/>
          <w:b/>
          <w:sz w:val="32"/>
          <w:szCs w:val="32"/>
        </w:rPr>
      </w:pPr>
      <w:r>
        <w:rPr>
          <w:rFonts w:ascii="仿宋_GB2312" w:eastAsia="仿宋_GB2312" w:cs="仿宋_GB2312" w:hint="eastAsia"/>
          <w:b/>
          <w:sz w:val="32"/>
          <w:szCs w:val="32"/>
        </w:rPr>
        <w:t>一是加强思想政治素质和政治定力。</w:t>
      </w:r>
      <w:r w:rsidRPr="00353DE5">
        <w:rPr>
          <w:rFonts w:ascii="仿宋_GB2312" w:eastAsia="仿宋_GB2312" w:hint="eastAsia"/>
          <w:sz w:val="32"/>
          <w:szCs w:val="32"/>
        </w:rPr>
        <w:t>紧紧围绕“强化法律监督、维护公平正义”的</w:t>
      </w:r>
      <w:r>
        <w:rPr>
          <w:rFonts w:ascii="仿宋_GB2312" w:eastAsia="仿宋_GB2312" w:hint="eastAsia"/>
          <w:sz w:val="32"/>
          <w:szCs w:val="32"/>
        </w:rPr>
        <w:t>检察</w:t>
      </w:r>
      <w:r w:rsidRPr="00353DE5">
        <w:rPr>
          <w:rFonts w:ascii="仿宋_GB2312" w:eastAsia="仿宋_GB2312" w:hint="eastAsia"/>
          <w:sz w:val="32"/>
          <w:szCs w:val="32"/>
        </w:rPr>
        <w:t>工作主题，</w:t>
      </w:r>
      <w:r>
        <w:rPr>
          <w:rFonts w:ascii="仿宋_GB2312" w:eastAsia="仿宋_GB2312" w:hint="eastAsia"/>
          <w:sz w:val="32"/>
          <w:szCs w:val="32"/>
        </w:rPr>
        <w:t>进一步加强</w:t>
      </w:r>
      <w:r w:rsidRPr="00BD4065">
        <w:rPr>
          <w:rFonts w:ascii="仿宋_GB2312" w:eastAsia="仿宋_GB2312" w:hint="eastAsia"/>
          <w:sz w:val="32"/>
          <w:szCs w:val="32"/>
        </w:rPr>
        <w:t>党的领导，</w:t>
      </w:r>
      <w:r>
        <w:rPr>
          <w:rFonts w:ascii="仿宋_GB2312" w:eastAsia="仿宋_GB2312" w:hint="eastAsia"/>
          <w:sz w:val="32"/>
          <w:szCs w:val="32"/>
        </w:rPr>
        <w:t>强化</w:t>
      </w:r>
      <w:r w:rsidRPr="00BD4065">
        <w:rPr>
          <w:rFonts w:ascii="仿宋_GB2312" w:eastAsia="仿宋_GB2312" w:hint="eastAsia"/>
          <w:sz w:val="32"/>
          <w:szCs w:val="32"/>
        </w:rPr>
        <w:t>人大监督。</w:t>
      </w:r>
      <w:r>
        <w:rPr>
          <w:rFonts w:ascii="仿宋_GB2312" w:eastAsia="仿宋_GB2312" w:hint="eastAsia"/>
          <w:sz w:val="32"/>
          <w:szCs w:val="32"/>
        </w:rPr>
        <w:t>进一步提高思想认识，加强思想政治素质，提高司法改革试点工作的责任感和使命感。</w:t>
      </w:r>
      <w:r w:rsidRPr="00BD4065">
        <w:rPr>
          <w:rFonts w:ascii="仿宋_GB2312" w:eastAsia="仿宋_GB2312" w:hint="eastAsia"/>
          <w:sz w:val="32"/>
          <w:szCs w:val="32"/>
        </w:rPr>
        <w:t>提高</w:t>
      </w:r>
      <w:r>
        <w:rPr>
          <w:rFonts w:ascii="仿宋_GB2312" w:eastAsia="仿宋_GB2312" w:hint="eastAsia"/>
          <w:sz w:val="32"/>
          <w:szCs w:val="32"/>
        </w:rPr>
        <w:t>工作</w:t>
      </w:r>
      <w:r w:rsidRPr="00BD4065">
        <w:rPr>
          <w:rFonts w:ascii="仿宋_GB2312" w:eastAsia="仿宋_GB2312" w:hint="eastAsia"/>
          <w:sz w:val="32"/>
          <w:szCs w:val="32"/>
        </w:rPr>
        <w:t>站位，找准</w:t>
      </w:r>
      <w:r>
        <w:rPr>
          <w:rFonts w:ascii="仿宋_GB2312" w:eastAsia="仿宋_GB2312" w:hint="eastAsia"/>
          <w:sz w:val="32"/>
          <w:szCs w:val="32"/>
        </w:rPr>
        <w:t>自身</w:t>
      </w:r>
      <w:r w:rsidRPr="00BD4065">
        <w:rPr>
          <w:rFonts w:ascii="仿宋_GB2312" w:eastAsia="仿宋_GB2312" w:hint="eastAsia"/>
          <w:sz w:val="32"/>
          <w:szCs w:val="32"/>
        </w:rPr>
        <w:t>定位，加强部署</w:t>
      </w:r>
      <w:r>
        <w:rPr>
          <w:rFonts w:ascii="仿宋_GB2312" w:eastAsia="仿宋_GB2312" w:hint="eastAsia"/>
          <w:sz w:val="32"/>
          <w:szCs w:val="32"/>
        </w:rPr>
        <w:t>动员</w:t>
      </w:r>
      <w:r w:rsidRPr="00BD4065">
        <w:rPr>
          <w:rFonts w:ascii="仿宋_GB2312" w:eastAsia="仿宋_GB2312" w:hint="eastAsia"/>
          <w:sz w:val="32"/>
          <w:szCs w:val="32"/>
        </w:rPr>
        <w:t>，加强思想政治教育和工作宣传，及时对工作情况进行请示</w:t>
      </w:r>
      <w:r>
        <w:rPr>
          <w:rFonts w:ascii="仿宋_GB2312" w:eastAsia="仿宋_GB2312" w:hint="eastAsia"/>
          <w:sz w:val="32"/>
          <w:szCs w:val="32"/>
        </w:rPr>
        <w:t>报告</w:t>
      </w:r>
      <w:r w:rsidRPr="00BD4065">
        <w:rPr>
          <w:rFonts w:ascii="仿宋_GB2312" w:eastAsia="仿宋_GB2312" w:hint="eastAsia"/>
          <w:sz w:val="32"/>
          <w:szCs w:val="32"/>
        </w:rPr>
        <w:t>。</w:t>
      </w:r>
      <w:r>
        <w:rPr>
          <w:rFonts w:ascii="仿宋_GB2312" w:eastAsia="仿宋_GB2312" w:hint="eastAsia"/>
          <w:sz w:val="32"/>
          <w:szCs w:val="32"/>
        </w:rPr>
        <w:t>以司法改革为契机，加强检察机关的社会公信力，依靠司法改革来解决一些制约检察工作发展的深层次问题。</w:t>
      </w:r>
    </w:p>
    <w:p w:rsidR="00007F64" w:rsidRDefault="00007F64" w:rsidP="00A55CF7">
      <w:pPr>
        <w:adjustRightInd w:val="0"/>
        <w:snapToGrid w:val="0"/>
        <w:spacing w:line="540" w:lineRule="exact"/>
        <w:ind w:firstLineChars="200" w:firstLine="643"/>
        <w:rPr>
          <w:rFonts w:ascii="仿宋_GB2312" w:eastAsia="仿宋_GB2312" w:cs="仿宋_GB2312"/>
          <w:sz w:val="32"/>
          <w:szCs w:val="32"/>
        </w:rPr>
      </w:pPr>
      <w:r>
        <w:rPr>
          <w:rFonts w:ascii="仿宋_GB2312" w:eastAsia="仿宋_GB2312" w:cs="仿宋_GB2312" w:hint="eastAsia"/>
          <w:b/>
          <w:sz w:val="32"/>
          <w:szCs w:val="32"/>
        </w:rPr>
        <w:t>二是统筹推进人员分类管理。</w:t>
      </w:r>
      <w:r>
        <w:rPr>
          <w:rFonts w:ascii="仿宋_GB2312" w:eastAsia="仿宋_GB2312" w:cs="仿宋_GB2312" w:hint="eastAsia"/>
          <w:sz w:val="32"/>
          <w:szCs w:val="32"/>
        </w:rPr>
        <w:t>推动员额制改革，坚守确定的员额比例，规范入额程序和条件，严格考试考核，择优选任员额制检察官，配置在办案一线，使之成为落实检察官办案责任制的基本主体。妥善统筹员额使用，进行后续员额测算，合理规划检察人员的职业阶梯。建立面向检察官助理、书记员的职级晋升通道，</w:t>
      </w:r>
      <w:r>
        <w:rPr>
          <w:rFonts w:eastAsia="仿宋_GB2312" w:hint="eastAsia"/>
          <w:sz w:val="32"/>
          <w:szCs w:val="32"/>
        </w:rPr>
        <w:t>妥善安排好司法行政人员的职业发展</w:t>
      </w:r>
      <w:r>
        <w:rPr>
          <w:rFonts w:ascii="仿宋_GB2312" w:eastAsia="仿宋_GB2312" w:cs="仿宋_GB2312" w:hint="eastAsia"/>
          <w:sz w:val="32"/>
          <w:szCs w:val="32"/>
        </w:rPr>
        <w:t>。</w:t>
      </w:r>
    </w:p>
    <w:p w:rsidR="00007F64" w:rsidRDefault="00007F64" w:rsidP="00A55CF7">
      <w:pPr>
        <w:adjustRightInd w:val="0"/>
        <w:snapToGrid w:val="0"/>
        <w:spacing w:line="540" w:lineRule="exact"/>
        <w:ind w:firstLineChars="200" w:firstLine="643"/>
        <w:rPr>
          <w:rFonts w:ascii="仿宋_GB2312" w:eastAsia="仿宋_GB2312" w:cs="仿宋_GB2312"/>
          <w:sz w:val="32"/>
          <w:szCs w:val="32"/>
        </w:rPr>
      </w:pPr>
      <w:r>
        <w:rPr>
          <w:rFonts w:ascii="仿宋_GB2312" w:eastAsia="仿宋_GB2312" w:cs="仿宋_GB2312" w:hint="eastAsia"/>
          <w:b/>
          <w:sz w:val="32"/>
          <w:szCs w:val="32"/>
        </w:rPr>
        <w:t>三是科学划分检察官权限。</w:t>
      </w:r>
      <w:r w:rsidRPr="00BD4065">
        <w:rPr>
          <w:rFonts w:ascii="仿宋_GB2312" w:eastAsia="仿宋_GB2312" w:cs="仿宋_GB2312" w:hint="eastAsia"/>
          <w:sz w:val="32"/>
          <w:szCs w:val="32"/>
        </w:rPr>
        <w:t>坚持司法规律，</w:t>
      </w:r>
      <w:r>
        <w:rPr>
          <w:rFonts w:ascii="仿宋_GB2312" w:eastAsia="仿宋_GB2312" w:cs="仿宋_GB2312" w:hint="eastAsia"/>
          <w:sz w:val="32"/>
          <w:szCs w:val="32"/>
        </w:rPr>
        <w:t>制定覆盖各层级各部门的检察官权力清单和责任清单，确保权责一致，权责相符。规范检察委员会上会案件的条件、标准，进一步压缩个案讨论空间。</w:t>
      </w:r>
    </w:p>
    <w:p w:rsidR="00007F64" w:rsidRDefault="00007F64" w:rsidP="00A55CF7">
      <w:pPr>
        <w:adjustRightInd w:val="0"/>
        <w:snapToGrid w:val="0"/>
        <w:spacing w:line="540" w:lineRule="exact"/>
        <w:ind w:firstLineChars="200" w:firstLine="643"/>
        <w:rPr>
          <w:rFonts w:ascii="仿宋_GB2312" w:eastAsia="仿宋_GB2312"/>
          <w:sz w:val="32"/>
          <w:szCs w:val="32"/>
        </w:rPr>
      </w:pPr>
      <w:r>
        <w:rPr>
          <w:rFonts w:ascii="仿宋_GB2312" w:eastAsia="仿宋_GB2312" w:cs="仿宋_GB2312" w:hint="eastAsia"/>
          <w:b/>
          <w:sz w:val="32"/>
          <w:szCs w:val="32"/>
        </w:rPr>
        <w:t>四是进一步完善检察权运行的监督制约机制。</w:t>
      </w:r>
      <w:r>
        <w:rPr>
          <w:rFonts w:eastAsia="仿宋_GB2312" w:hint="eastAsia"/>
          <w:sz w:val="32"/>
          <w:szCs w:val="32"/>
        </w:rPr>
        <w:t>积极探索上下级之间、司法办案各环节之间、检察机关内部专门监督主体、办案组织内部、检察机关外部的有效管用的监督制约机制，做到“放权不放任”。</w:t>
      </w:r>
    </w:p>
    <w:p w:rsidR="00007F64" w:rsidRDefault="00007F64" w:rsidP="00A55CF7">
      <w:pPr>
        <w:adjustRightInd w:val="0"/>
        <w:snapToGrid w:val="0"/>
        <w:spacing w:line="540" w:lineRule="exact"/>
        <w:ind w:firstLineChars="200" w:firstLine="643"/>
        <w:rPr>
          <w:rFonts w:ascii="仿宋_GB2312" w:eastAsia="仿宋_GB2312"/>
          <w:sz w:val="32"/>
          <w:szCs w:val="32"/>
        </w:rPr>
      </w:pPr>
      <w:r>
        <w:rPr>
          <w:rFonts w:ascii="仿宋_GB2312" w:eastAsia="仿宋_GB2312" w:cs="仿宋_GB2312" w:hint="eastAsia"/>
          <w:b/>
          <w:sz w:val="32"/>
          <w:szCs w:val="32"/>
        </w:rPr>
        <w:t>五是建立健全办案质量终身负责和错案责任追究机制。</w:t>
      </w:r>
      <w:r>
        <w:rPr>
          <w:rFonts w:ascii="仿宋_GB2312" w:eastAsia="仿宋_GB2312" w:hint="eastAsia"/>
          <w:sz w:val="32"/>
          <w:szCs w:val="32"/>
        </w:rPr>
        <w:t>根据“谁办案、谁决定、谁负责”的总体原则，</w:t>
      </w:r>
      <w:r>
        <w:rPr>
          <w:rFonts w:eastAsia="仿宋_GB2312" w:hint="eastAsia"/>
          <w:sz w:val="32"/>
          <w:szCs w:val="32"/>
        </w:rPr>
        <w:t>区分故意责任、重大过失责任和监督管理责任</w:t>
      </w:r>
      <w:r>
        <w:rPr>
          <w:rFonts w:ascii="仿宋_GB2312" w:eastAsia="仿宋_GB2312" w:hint="eastAsia"/>
          <w:sz w:val="32"/>
          <w:szCs w:val="32"/>
        </w:rPr>
        <w:t>，科学认定应承担的司法责任，建立相应的惩戒机制，真正把责任落实到“人”。</w:t>
      </w:r>
    </w:p>
    <w:p w:rsidR="00007F64" w:rsidRDefault="00007F64" w:rsidP="00A55CF7">
      <w:pPr>
        <w:adjustRightInd w:val="0"/>
        <w:snapToGrid w:val="0"/>
        <w:spacing w:line="540" w:lineRule="exact"/>
        <w:ind w:firstLineChars="200" w:firstLine="643"/>
        <w:rPr>
          <w:rFonts w:ascii="仿宋_GB2312" w:eastAsia="仿宋_GB2312"/>
          <w:b/>
          <w:sz w:val="32"/>
          <w:szCs w:val="32"/>
        </w:rPr>
      </w:pPr>
      <w:r>
        <w:rPr>
          <w:rFonts w:ascii="仿宋_GB2312" w:eastAsia="仿宋_GB2312" w:hint="eastAsia"/>
          <w:b/>
          <w:sz w:val="32"/>
          <w:szCs w:val="32"/>
        </w:rPr>
        <w:t>六是加强司法行政工作的支持保障力度。</w:t>
      </w:r>
      <w:r>
        <w:rPr>
          <w:rFonts w:ascii="仿宋_GB2312" w:eastAsia="仿宋_GB2312" w:hint="eastAsia"/>
          <w:sz w:val="32"/>
          <w:szCs w:val="32"/>
        </w:rPr>
        <w:t>司法改革实施方案启动之后，在司法辅助工作要求提高、司法行政工作需求增加而工作力量不足的情况下，为加强对业务工作的支持保障，通过购买社会化服务等方式，积极妥善地保障工作目标的顺利实现。</w:t>
      </w:r>
    </w:p>
    <w:p w:rsidR="00007F64" w:rsidRDefault="00007F64" w:rsidP="00A55CF7">
      <w:pPr>
        <w:adjustRightInd w:val="0"/>
        <w:snapToGrid w:val="0"/>
        <w:spacing w:line="540" w:lineRule="exact"/>
        <w:ind w:firstLineChars="200" w:firstLine="640"/>
        <w:rPr>
          <w:rFonts w:ascii="仿宋_GB2312" w:eastAsia="仿宋_GB2312"/>
          <w:kern w:val="0"/>
          <w:sz w:val="32"/>
          <w:szCs w:val="32"/>
        </w:rPr>
      </w:pPr>
      <w:r>
        <w:rPr>
          <w:rFonts w:ascii="仿宋_GB2312" w:eastAsia="仿宋_GB2312" w:hint="eastAsia"/>
          <w:kern w:val="0"/>
          <w:sz w:val="32"/>
          <w:szCs w:val="32"/>
        </w:rPr>
        <w:t>司法改革时间紧，任务重，矛盾多，问题尖锐复杂。我们</w:t>
      </w:r>
      <w:r>
        <w:rPr>
          <w:rFonts w:ascii="仿宋_GB2312" w:eastAsia="仿宋_GB2312" w:cs="仿宋_GB2312" w:hint="eastAsia"/>
          <w:sz w:val="32"/>
          <w:szCs w:val="32"/>
        </w:rPr>
        <w:t>将在区委、市检察院的领导下，在区人大及其常委会的监督下，</w:t>
      </w:r>
      <w:r>
        <w:rPr>
          <w:rFonts w:eastAsia="仿宋_GB2312" w:hint="eastAsia"/>
          <w:sz w:val="32"/>
          <w:szCs w:val="32"/>
        </w:rPr>
        <w:t>继续增强改革定力、保持改革韧劲，加强思想引导，注重问题研究</w:t>
      </w:r>
      <w:r>
        <w:rPr>
          <w:rFonts w:ascii="仿宋_GB2312" w:eastAsia="仿宋_GB2312" w:hint="eastAsia"/>
          <w:kern w:val="0"/>
          <w:sz w:val="32"/>
          <w:szCs w:val="32"/>
        </w:rPr>
        <w:t>，</w:t>
      </w:r>
      <w:r>
        <w:rPr>
          <w:rFonts w:eastAsia="仿宋_GB2312" w:hint="eastAsia"/>
          <w:sz w:val="32"/>
          <w:szCs w:val="32"/>
        </w:rPr>
        <w:t>全力以赴抓好司法体制改革任务的落实，确保各项改革措施取得预期成果，为加快建设公正高效权威的社会主义司法制度作出我们应有的贡献</w:t>
      </w:r>
      <w:r>
        <w:rPr>
          <w:rFonts w:ascii="仿宋_GB2312" w:eastAsia="仿宋_GB2312" w:hint="eastAsia"/>
          <w:kern w:val="0"/>
          <w:sz w:val="32"/>
          <w:szCs w:val="32"/>
        </w:rPr>
        <w:t>！</w:t>
      </w:r>
    </w:p>
    <w:sectPr w:rsidR="00007F64" w:rsidSect="001026E1">
      <w:footerReference w:type="default" r:id="rId6"/>
      <w:footnotePr>
        <w:numFmt w:val="ideographEnclosedCircle"/>
      </w:footnotePr>
      <w:type w:val="continuous"/>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7F64" w:rsidRDefault="00007F64" w:rsidP="006D4FBC">
      <w:r>
        <w:separator/>
      </w:r>
    </w:p>
  </w:endnote>
  <w:endnote w:type="continuationSeparator" w:id="0">
    <w:p w:rsidR="00007F64" w:rsidRDefault="00007F64" w:rsidP="006D4F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F64" w:rsidRDefault="00007F64">
    <w:pPr>
      <w:pStyle w:val="Footer"/>
      <w:jc w:val="center"/>
    </w:pPr>
    <w:fldSimple w:instr=" PAGE   \* MERGEFORMAT ">
      <w:r w:rsidRPr="00BB7D0B">
        <w:rPr>
          <w:noProof/>
          <w:lang w:val="zh-CN"/>
        </w:rPr>
        <w:t>11</w:t>
      </w:r>
    </w:fldSimple>
  </w:p>
  <w:p w:rsidR="00007F64" w:rsidRDefault="00007F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7F64" w:rsidRDefault="00007F64" w:rsidP="006D4FBC">
      <w:r>
        <w:separator/>
      </w:r>
    </w:p>
  </w:footnote>
  <w:footnote w:type="continuationSeparator" w:id="0">
    <w:p w:rsidR="00007F64" w:rsidRDefault="00007F64" w:rsidP="006D4FBC">
      <w:r>
        <w:continuationSeparator/>
      </w:r>
    </w:p>
  </w:footnote>
  <w:footnote w:id="1">
    <w:p w:rsidR="00007F64" w:rsidRDefault="00007F64">
      <w:pPr>
        <w:pStyle w:val="FootnoteText"/>
      </w:pPr>
      <w:r w:rsidRPr="00CC000A">
        <w:rPr>
          <w:rStyle w:val="FootnoteReference"/>
          <w:rFonts w:hAnsi="Symbol" w:hint="eastAsia"/>
        </w:rPr>
        <w:sym w:font="Symbol" w:char="F02A"/>
      </w:r>
      <w:r>
        <w:t xml:space="preserve"> </w:t>
      </w:r>
      <w:r w:rsidRPr="00AE7E5B">
        <w:rPr>
          <w:rFonts w:ascii="仿宋_GB2312" w:eastAsia="仿宋_GB2312" w:hint="eastAsia"/>
          <w:b/>
          <w:sz w:val="32"/>
          <w:szCs w:val="32"/>
        </w:rPr>
        <w:t>检察官</w:t>
      </w:r>
      <w:r>
        <w:rPr>
          <w:rFonts w:ascii="仿宋_GB2312" w:eastAsia="仿宋_GB2312" w:hint="eastAsia"/>
          <w:sz w:val="32"/>
          <w:szCs w:val="32"/>
        </w:rPr>
        <w:t>是指依法行使国家检察权的检察人员，包括检察长、副检察长、检察委员会委员、检察员。改革后，检察官实行有别于普通公务员的管理制度，按单独职务序列管理。</w:t>
      </w:r>
      <w:r w:rsidRPr="00AE7E5B">
        <w:rPr>
          <w:rFonts w:ascii="仿宋_GB2312" w:eastAsia="仿宋_GB2312" w:hint="eastAsia"/>
          <w:b/>
          <w:sz w:val="32"/>
          <w:szCs w:val="32"/>
        </w:rPr>
        <w:t>检察辅助人员</w:t>
      </w:r>
      <w:r>
        <w:rPr>
          <w:rFonts w:ascii="仿宋_GB2312" w:eastAsia="仿宋_GB2312" w:hint="eastAsia"/>
          <w:sz w:val="32"/>
          <w:szCs w:val="32"/>
        </w:rPr>
        <w:t>是指协助检察官履行检察职责的专门工作人员，包括检察官助理、书记员、司法警察、检察技术人员。改革后，检察官助理、书记员实行等级管理；司法警察参照人民警察序列管理；检察技术人员按专业技术类人员管理。</w:t>
      </w:r>
      <w:r w:rsidRPr="00AE7E5B">
        <w:rPr>
          <w:rFonts w:ascii="仿宋_GB2312" w:eastAsia="仿宋_GB2312" w:hint="eastAsia"/>
          <w:b/>
          <w:sz w:val="32"/>
          <w:szCs w:val="32"/>
        </w:rPr>
        <w:t>司法行政人员</w:t>
      </w:r>
      <w:r>
        <w:rPr>
          <w:rFonts w:ascii="仿宋_GB2312" w:eastAsia="仿宋_GB2312" w:hint="eastAsia"/>
          <w:sz w:val="32"/>
          <w:szCs w:val="32"/>
        </w:rPr>
        <w:t>是指在检察机关从事司法行政管理事务的工作人员。改革后，司法行政人员按综合管理类公务员管理。</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numFmt w:val="ideographEnclosedCircle"/>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5898"/>
    <w:rsid w:val="00000CC4"/>
    <w:rsid w:val="00000E6D"/>
    <w:rsid w:val="00001DC5"/>
    <w:rsid w:val="00002B56"/>
    <w:rsid w:val="000039B6"/>
    <w:rsid w:val="00004587"/>
    <w:rsid w:val="00004A7E"/>
    <w:rsid w:val="0000674B"/>
    <w:rsid w:val="0000749C"/>
    <w:rsid w:val="00007BE8"/>
    <w:rsid w:val="00007F64"/>
    <w:rsid w:val="000112CD"/>
    <w:rsid w:val="0001345D"/>
    <w:rsid w:val="00014AF9"/>
    <w:rsid w:val="00014B55"/>
    <w:rsid w:val="00014CB9"/>
    <w:rsid w:val="0001609B"/>
    <w:rsid w:val="00016160"/>
    <w:rsid w:val="00016DE2"/>
    <w:rsid w:val="00017AE9"/>
    <w:rsid w:val="00017B9A"/>
    <w:rsid w:val="00017E20"/>
    <w:rsid w:val="000202A9"/>
    <w:rsid w:val="00021499"/>
    <w:rsid w:val="00021AB9"/>
    <w:rsid w:val="000220E1"/>
    <w:rsid w:val="00022B14"/>
    <w:rsid w:val="00023B94"/>
    <w:rsid w:val="00025872"/>
    <w:rsid w:val="000259CA"/>
    <w:rsid w:val="00026234"/>
    <w:rsid w:val="00030569"/>
    <w:rsid w:val="0003076B"/>
    <w:rsid w:val="0003083F"/>
    <w:rsid w:val="00031943"/>
    <w:rsid w:val="00031B22"/>
    <w:rsid w:val="00031F14"/>
    <w:rsid w:val="0003299B"/>
    <w:rsid w:val="00032AB9"/>
    <w:rsid w:val="00032B47"/>
    <w:rsid w:val="00032EB9"/>
    <w:rsid w:val="00032F1A"/>
    <w:rsid w:val="00033855"/>
    <w:rsid w:val="00033B00"/>
    <w:rsid w:val="0003568C"/>
    <w:rsid w:val="00035A5B"/>
    <w:rsid w:val="000360BC"/>
    <w:rsid w:val="0003705A"/>
    <w:rsid w:val="00037067"/>
    <w:rsid w:val="0004040B"/>
    <w:rsid w:val="00040C2D"/>
    <w:rsid w:val="00040E7F"/>
    <w:rsid w:val="00040EA4"/>
    <w:rsid w:val="00040FEF"/>
    <w:rsid w:val="00041013"/>
    <w:rsid w:val="00041057"/>
    <w:rsid w:val="00041681"/>
    <w:rsid w:val="00042D3E"/>
    <w:rsid w:val="00042DF0"/>
    <w:rsid w:val="0004351F"/>
    <w:rsid w:val="00043636"/>
    <w:rsid w:val="00045173"/>
    <w:rsid w:val="0004636D"/>
    <w:rsid w:val="00046FF8"/>
    <w:rsid w:val="00047433"/>
    <w:rsid w:val="00050BCE"/>
    <w:rsid w:val="000520BF"/>
    <w:rsid w:val="000540C2"/>
    <w:rsid w:val="0005506C"/>
    <w:rsid w:val="000553AF"/>
    <w:rsid w:val="00056CA1"/>
    <w:rsid w:val="00056F8D"/>
    <w:rsid w:val="000575DC"/>
    <w:rsid w:val="00060AE4"/>
    <w:rsid w:val="00060FAB"/>
    <w:rsid w:val="00061BE6"/>
    <w:rsid w:val="000626D8"/>
    <w:rsid w:val="00063739"/>
    <w:rsid w:val="00064AFC"/>
    <w:rsid w:val="000659C7"/>
    <w:rsid w:val="00066857"/>
    <w:rsid w:val="00067677"/>
    <w:rsid w:val="00070211"/>
    <w:rsid w:val="000708CC"/>
    <w:rsid w:val="00071F20"/>
    <w:rsid w:val="00071F37"/>
    <w:rsid w:val="00073572"/>
    <w:rsid w:val="000739F7"/>
    <w:rsid w:val="000743EE"/>
    <w:rsid w:val="00074CBE"/>
    <w:rsid w:val="00075797"/>
    <w:rsid w:val="000804C8"/>
    <w:rsid w:val="000810C8"/>
    <w:rsid w:val="00081DF4"/>
    <w:rsid w:val="00081E97"/>
    <w:rsid w:val="00082312"/>
    <w:rsid w:val="000830EE"/>
    <w:rsid w:val="0008321C"/>
    <w:rsid w:val="00083619"/>
    <w:rsid w:val="0008363B"/>
    <w:rsid w:val="00083702"/>
    <w:rsid w:val="00084194"/>
    <w:rsid w:val="000842D7"/>
    <w:rsid w:val="0008449E"/>
    <w:rsid w:val="00084582"/>
    <w:rsid w:val="00084BEB"/>
    <w:rsid w:val="000851A3"/>
    <w:rsid w:val="0008539C"/>
    <w:rsid w:val="00085897"/>
    <w:rsid w:val="0008673B"/>
    <w:rsid w:val="0008720A"/>
    <w:rsid w:val="0009009B"/>
    <w:rsid w:val="00091CEB"/>
    <w:rsid w:val="0009257C"/>
    <w:rsid w:val="0009379B"/>
    <w:rsid w:val="00094E22"/>
    <w:rsid w:val="00095866"/>
    <w:rsid w:val="00095D90"/>
    <w:rsid w:val="00095F49"/>
    <w:rsid w:val="00096551"/>
    <w:rsid w:val="00097AE8"/>
    <w:rsid w:val="000A4A25"/>
    <w:rsid w:val="000A4F63"/>
    <w:rsid w:val="000A5740"/>
    <w:rsid w:val="000A57BA"/>
    <w:rsid w:val="000A6D91"/>
    <w:rsid w:val="000A7052"/>
    <w:rsid w:val="000A7F0F"/>
    <w:rsid w:val="000B00A1"/>
    <w:rsid w:val="000B09EF"/>
    <w:rsid w:val="000B0F1E"/>
    <w:rsid w:val="000B1089"/>
    <w:rsid w:val="000B2C95"/>
    <w:rsid w:val="000B2F78"/>
    <w:rsid w:val="000B4266"/>
    <w:rsid w:val="000B46B7"/>
    <w:rsid w:val="000B4F17"/>
    <w:rsid w:val="000B5159"/>
    <w:rsid w:val="000B595D"/>
    <w:rsid w:val="000B6377"/>
    <w:rsid w:val="000B6449"/>
    <w:rsid w:val="000B701E"/>
    <w:rsid w:val="000B72F2"/>
    <w:rsid w:val="000C1544"/>
    <w:rsid w:val="000C1DCD"/>
    <w:rsid w:val="000C1EA8"/>
    <w:rsid w:val="000C3277"/>
    <w:rsid w:val="000C3A21"/>
    <w:rsid w:val="000C3B73"/>
    <w:rsid w:val="000C3FE1"/>
    <w:rsid w:val="000C403E"/>
    <w:rsid w:val="000C4B14"/>
    <w:rsid w:val="000C6114"/>
    <w:rsid w:val="000C79C2"/>
    <w:rsid w:val="000D0BE3"/>
    <w:rsid w:val="000D0CD7"/>
    <w:rsid w:val="000D2D24"/>
    <w:rsid w:val="000D30FD"/>
    <w:rsid w:val="000D393D"/>
    <w:rsid w:val="000D3B3C"/>
    <w:rsid w:val="000D42DF"/>
    <w:rsid w:val="000D43BC"/>
    <w:rsid w:val="000D45AC"/>
    <w:rsid w:val="000D485D"/>
    <w:rsid w:val="000D4F14"/>
    <w:rsid w:val="000D5472"/>
    <w:rsid w:val="000D54F9"/>
    <w:rsid w:val="000D5705"/>
    <w:rsid w:val="000D5E8A"/>
    <w:rsid w:val="000D63CF"/>
    <w:rsid w:val="000E013E"/>
    <w:rsid w:val="000E0AD9"/>
    <w:rsid w:val="000E177D"/>
    <w:rsid w:val="000E1F0F"/>
    <w:rsid w:val="000E2F98"/>
    <w:rsid w:val="000E312B"/>
    <w:rsid w:val="000E3382"/>
    <w:rsid w:val="000E3B81"/>
    <w:rsid w:val="000E4186"/>
    <w:rsid w:val="000E44AA"/>
    <w:rsid w:val="000E4DF7"/>
    <w:rsid w:val="000E5AE5"/>
    <w:rsid w:val="000E6647"/>
    <w:rsid w:val="000E725A"/>
    <w:rsid w:val="000E7ED3"/>
    <w:rsid w:val="000F0EF7"/>
    <w:rsid w:val="000F1C61"/>
    <w:rsid w:val="000F2A47"/>
    <w:rsid w:val="000F3231"/>
    <w:rsid w:val="000F38CA"/>
    <w:rsid w:val="000F4604"/>
    <w:rsid w:val="000F54C1"/>
    <w:rsid w:val="000F777F"/>
    <w:rsid w:val="000F7C98"/>
    <w:rsid w:val="001001DE"/>
    <w:rsid w:val="00100D64"/>
    <w:rsid w:val="001012BF"/>
    <w:rsid w:val="00101486"/>
    <w:rsid w:val="001026E1"/>
    <w:rsid w:val="001032A5"/>
    <w:rsid w:val="00103312"/>
    <w:rsid w:val="001033D7"/>
    <w:rsid w:val="001034CA"/>
    <w:rsid w:val="001045ED"/>
    <w:rsid w:val="001047FF"/>
    <w:rsid w:val="00104F34"/>
    <w:rsid w:val="00107D0A"/>
    <w:rsid w:val="00111177"/>
    <w:rsid w:val="00111FC2"/>
    <w:rsid w:val="0011222E"/>
    <w:rsid w:val="00112546"/>
    <w:rsid w:val="00113081"/>
    <w:rsid w:val="0011377E"/>
    <w:rsid w:val="0011403C"/>
    <w:rsid w:val="00114C7B"/>
    <w:rsid w:val="00114CE2"/>
    <w:rsid w:val="0011564E"/>
    <w:rsid w:val="00115EE4"/>
    <w:rsid w:val="001177C0"/>
    <w:rsid w:val="00117A5E"/>
    <w:rsid w:val="00120762"/>
    <w:rsid w:val="00120BFE"/>
    <w:rsid w:val="00121D34"/>
    <w:rsid w:val="00121FE5"/>
    <w:rsid w:val="001234B1"/>
    <w:rsid w:val="0012363B"/>
    <w:rsid w:val="00123B5E"/>
    <w:rsid w:val="0012444D"/>
    <w:rsid w:val="00125780"/>
    <w:rsid w:val="00125DD0"/>
    <w:rsid w:val="00126B8F"/>
    <w:rsid w:val="00130D41"/>
    <w:rsid w:val="0013258B"/>
    <w:rsid w:val="00132A95"/>
    <w:rsid w:val="0013322D"/>
    <w:rsid w:val="00133402"/>
    <w:rsid w:val="001341EA"/>
    <w:rsid w:val="001357ED"/>
    <w:rsid w:val="00135C52"/>
    <w:rsid w:val="00135FC5"/>
    <w:rsid w:val="00136418"/>
    <w:rsid w:val="00137267"/>
    <w:rsid w:val="00137313"/>
    <w:rsid w:val="00137568"/>
    <w:rsid w:val="00137703"/>
    <w:rsid w:val="001422B2"/>
    <w:rsid w:val="001424D8"/>
    <w:rsid w:val="00142652"/>
    <w:rsid w:val="00142C73"/>
    <w:rsid w:val="00143C38"/>
    <w:rsid w:val="00144A0F"/>
    <w:rsid w:val="00144BCB"/>
    <w:rsid w:val="001466D1"/>
    <w:rsid w:val="00146B3B"/>
    <w:rsid w:val="00146E45"/>
    <w:rsid w:val="001472D0"/>
    <w:rsid w:val="00150413"/>
    <w:rsid w:val="00151AB2"/>
    <w:rsid w:val="00152192"/>
    <w:rsid w:val="0015249D"/>
    <w:rsid w:val="00154BB4"/>
    <w:rsid w:val="0015510D"/>
    <w:rsid w:val="00157165"/>
    <w:rsid w:val="001601D4"/>
    <w:rsid w:val="001606DD"/>
    <w:rsid w:val="001618FD"/>
    <w:rsid w:val="001636B6"/>
    <w:rsid w:val="001647AF"/>
    <w:rsid w:val="00166357"/>
    <w:rsid w:val="00166F08"/>
    <w:rsid w:val="00167042"/>
    <w:rsid w:val="0016764D"/>
    <w:rsid w:val="001709C1"/>
    <w:rsid w:val="0017123E"/>
    <w:rsid w:val="00171D9B"/>
    <w:rsid w:val="00172610"/>
    <w:rsid w:val="001727B2"/>
    <w:rsid w:val="0017298F"/>
    <w:rsid w:val="0017384F"/>
    <w:rsid w:val="00173915"/>
    <w:rsid w:val="00173953"/>
    <w:rsid w:val="00176A2E"/>
    <w:rsid w:val="00180C2B"/>
    <w:rsid w:val="001810B9"/>
    <w:rsid w:val="00181605"/>
    <w:rsid w:val="0018191C"/>
    <w:rsid w:val="001823BE"/>
    <w:rsid w:val="00183EB1"/>
    <w:rsid w:val="00184174"/>
    <w:rsid w:val="00187625"/>
    <w:rsid w:val="0019028C"/>
    <w:rsid w:val="00191C7C"/>
    <w:rsid w:val="001921AD"/>
    <w:rsid w:val="00192376"/>
    <w:rsid w:val="00192D73"/>
    <w:rsid w:val="001935D4"/>
    <w:rsid w:val="00193B0F"/>
    <w:rsid w:val="00193BA5"/>
    <w:rsid w:val="00195208"/>
    <w:rsid w:val="001A01B5"/>
    <w:rsid w:val="001A08A5"/>
    <w:rsid w:val="001A0DDA"/>
    <w:rsid w:val="001A0F01"/>
    <w:rsid w:val="001A1543"/>
    <w:rsid w:val="001A28E3"/>
    <w:rsid w:val="001A2D59"/>
    <w:rsid w:val="001A2EA4"/>
    <w:rsid w:val="001A30A9"/>
    <w:rsid w:val="001A3436"/>
    <w:rsid w:val="001A436F"/>
    <w:rsid w:val="001A47C9"/>
    <w:rsid w:val="001A489E"/>
    <w:rsid w:val="001A4D6C"/>
    <w:rsid w:val="001A5044"/>
    <w:rsid w:val="001A564F"/>
    <w:rsid w:val="001A5BC9"/>
    <w:rsid w:val="001A6E26"/>
    <w:rsid w:val="001A6F9C"/>
    <w:rsid w:val="001A7E49"/>
    <w:rsid w:val="001A7FD1"/>
    <w:rsid w:val="001B0378"/>
    <w:rsid w:val="001B08B1"/>
    <w:rsid w:val="001B22A1"/>
    <w:rsid w:val="001B2609"/>
    <w:rsid w:val="001B2879"/>
    <w:rsid w:val="001B3387"/>
    <w:rsid w:val="001B3AFA"/>
    <w:rsid w:val="001B4BAD"/>
    <w:rsid w:val="001B5995"/>
    <w:rsid w:val="001B5B5C"/>
    <w:rsid w:val="001B5E0B"/>
    <w:rsid w:val="001B6153"/>
    <w:rsid w:val="001B64BC"/>
    <w:rsid w:val="001B7E6B"/>
    <w:rsid w:val="001C0564"/>
    <w:rsid w:val="001C263A"/>
    <w:rsid w:val="001C289D"/>
    <w:rsid w:val="001C45A6"/>
    <w:rsid w:val="001C4C6D"/>
    <w:rsid w:val="001C4C8A"/>
    <w:rsid w:val="001C57A1"/>
    <w:rsid w:val="001C5C44"/>
    <w:rsid w:val="001D0A20"/>
    <w:rsid w:val="001D1BDB"/>
    <w:rsid w:val="001D2789"/>
    <w:rsid w:val="001D3701"/>
    <w:rsid w:val="001D55E7"/>
    <w:rsid w:val="001D5F6A"/>
    <w:rsid w:val="001D602D"/>
    <w:rsid w:val="001D7BFC"/>
    <w:rsid w:val="001E0478"/>
    <w:rsid w:val="001E0A98"/>
    <w:rsid w:val="001E1495"/>
    <w:rsid w:val="001E3709"/>
    <w:rsid w:val="001E4AE5"/>
    <w:rsid w:val="001E4B3A"/>
    <w:rsid w:val="001E4D14"/>
    <w:rsid w:val="001E61C2"/>
    <w:rsid w:val="001E6228"/>
    <w:rsid w:val="001E6DEE"/>
    <w:rsid w:val="001E6E15"/>
    <w:rsid w:val="001E6ED8"/>
    <w:rsid w:val="001E7264"/>
    <w:rsid w:val="001E75C2"/>
    <w:rsid w:val="001F0B9B"/>
    <w:rsid w:val="001F1CDB"/>
    <w:rsid w:val="001F25C6"/>
    <w:rsid w:val="001F35E1"/>
    <w:rsid w:val="001F3ACE"/>
    <w:rsid w:val="001F4A40"/>
    <w:rsid w:val="001F6022"/>
    <w:rsid w:val="001F60F6"/>
    <w:rsid w:val="001F68E7"/>
    <w:rsid w:val="001F6D24"/>
    <w:rsid w:val="001F7159"/>
    <w:rsid w:val="001F7EE5"/>
    <w:rsid w:val="00201514"/>
    <w:rsid w:val="00201BF7"/>
    <w:rsid w:val="00201F8A"/>
    <w:rsid w:val="00203D8B"/>
    <w:rsid w:val="00204C59"/>
    <w:rsid w:val="00205925"/>
    <w:rsid w:val="00205D16"/>
    <w:rsid w:val="00205DFB"/>
    <w:rsid w:val="0020615C"/>
    <w:rsid w:val="00206B4E"/>
    <w:rsid w:val="00210F09"/>
    <w:rsid w:val="0021124F"/>
    <w:rsid w:val="00211CCB"/>
    <w:rsid w:val="00211D9D"/>
    <w:rsid w:val="002123AF"/>
    <w:rsid w:val="00212698"/>
    <w:rsid w:val="002134F5"/>
    <w:rsid w:val="0021388B"/>
    <w:rsid w:val="00213912"/>
    <w:rsid w:val="00213D37"/>
    <w:rsid w:val="002143D5"/>
    <w:rsid w:val="0021476E"/>
    <w:rsid w:val="00214D9D"/>
    <w:rsid w:val="00215D8B"/>
    <w:rsid w:val="0021617F"/>
    <w:rsid w:val="00216AD9"/>
    <w:rsid w:val="00217AC6"/>
    <w:rsid w:val="00220107"/>
    <w:rsid w:val="00220F26"/>
    <w:rsid w:val="00220F59"/>
    <w:rsid w:val="002218D7"/>
    <w:rsid w:val="002221C1"/>
    <w:rsid w:val="002227CE"/>
    <w:rsid w:val="00223C71"/>
    <w:rsid w:val="00224064"/>
    <w:rsid w:val="00224510"/>
    <w:rsid w:val="002253DE"/>
    <w:rsid w:val="00225424"/>
    <w:rsid w:val="00225CA9"/>
    <w:rsid w:val="002266C0"/>
    <w:rsid w:val="00230FED"/>
    <w:rsid w:val="002313AB"/>
    <w:rsid w:val="00231C32"/>
    <w:rsid w:val="00231E7F"/>
    <w:rsid w:val="002334B5"/>
    <w:rsid w:val="002337AF"/>
    <w:rsid w:val="00234891"/>
    <w:rsid w:val="00234BBD"/>
    <w:rsid w:val="00236080"/>
    <w:rsid w:val="00236130"/>
    <w:rsid w:val="00236C2D"/>
    <w:rsid w:val="002404A0"/>
    <w:rsid w:val="002405B9"/>
    <w:rsid w:val="00241300"/>
    <w:rsid w:val="002419FE"/>
    <w:rsid w:val="0024247C"/>
    <w:rsid w:val="002425FF"/>
    <w:rsid w:val="00243BD9"/>
    <w:rsid w:val="0024487B"/>
    <w:rsid w:val="002461F0"/>
    <w:rsid w:val="00250D48"/>
    <w:rsid w:val="00252A7D"/>
    <w:rsid w:val="00255ED9"/>
    <w:rsid w:val="002575EB"/>
    <w:rsid w:val="00257CC8"/>
    <w:rsid w:val="0026008F"/>
    <w:rsid w:val="0026089A"/>
    <w:rsid w:val="0026121E"/>
    <w:rsid w:val="00261A11"/>
    <w:rsid w:val="00262EB2"/>
    <w:rsid w:val="00262F88"/>
    <w:rsid w:val="00263247"/>
    <w:rsid w:val="0026324E"/>
    <w:rsid w:val="00263B70"/>
    <w:rsid w:val="00264582"/>
    <w:rsid w:val="002648A8"/>
    <w:rsid w:val="0026677E"/>
    <w:rsid w:val="00266DC7"/>
    <w:rsid w:val="00267076"/>
    <w:rsid w:val="00267E68"/>
    <w:rsid w:val="002704F5"/>
    <w:rsid w:val="0027221A"/>
    <w:rsid w:val="00273E22"/>
    <w:rsid w:val="00274522"/>
    <w:rsid w:val="00275FB4"/>
    <w:rsid w:val="00277C47"/>
    <w:rsid w:val="00280675"/>
    <w:rsid w:val="00283B20"/>
    <w:rsid w:val="00283B5F"/>
    <w:rsid w:val="002840FE"/>
    <w:rsid w:val="00284E91"/>
    <w:rsid w:val="002857D8"/>
    <w:rsid w:val="00287914"/>
    <w:rsid w:val="00287AF3"/>
    <w:rsid w:val="00290D91"/>
    <w:rsid w:val="00293386"/>
    <w:rsid w:val="0029397C"/>
    <w:rsid w:val="00293B7C"/>
    <w:rsid w:val="00295BCE"/>
    <w:rsid w:val="0029612F"/>
    <w:rsid w:val="00296B29"/>
    <w:rsid w:val="002970BB"/>
    <w:rsid w:val="002977A0"/>
    <w:rsid w:val="002A1102"/>
    <w:rsid w:val="002A126D"/>
    <w:rsid w:val="002A1B3D"/>
    <w:rsid w:val="002A344B"/>
    <w:rsid w:val="002A3D21"/>
    <w:rsid w:val="002A4334"/>
    <w:rsid w:val="002A4387"/>
    <w:rsid w:val="002A4505"/>
    <w:rsid w:val="002A48F5"/>
    <w:rsid w:val="002A63FD"/>
    <w:rsid w:val="002A7513"/>
    <w:rsid w:val="002A7E44"/>
    <w:rsid w:val="002B0111"/>
    <w:rsid w:val="002B120A"/>
    <w:rsid w:val="002B1699"/>
    <w:rsid w:val="002B2586"/>
    <w:rsid w:val="002B4847"/>
    <w:rsid w:val="002B5B57"/>
    <w:rsid w:val="002B5F3E"/>
    <w:rsid w:val="002B666A"/>
    <w:rsid w:val="002B7130"/>
    <w:rsid w:val="002B7B4A"/>
    <w:rsid w:val="002C04B1"/>
    <w:rsid w:val="002C078D"/>
    <w:rsid w:val="002C2671"/>
    <w:rsid w:val="002C2BC4"/>
    <w:rsid w:val="002C4B65"/>
    <w:rsid w:val="002C5270"/>
    <w:rsid w:val="002C64FB"/>
    <w:rsid w:val="002C65CD"/>
    <w:rsid w:val="002C6C7F"/>
    <w:rsid w:val="002C7456"/>
    <w:rsid w:val="002D05AD"/>
    <w:rsid w:val="002D072B"/>
    <w:rsid w:val="002D073D"/>
    <w:rsid w:val="002D1565"/>
    <w:rsid w:val="002D1653"/>
    <w:rsid w:val="002D18D7"/>
    <w:rsid w:val="002D21CA"/>
    <w:rsid w:val="002D2FCE"/>
    <w:rsid w:val="002D575B"/>
    <w:rsid w:val="002D616B"/>
    <w:rsid w:val="002D75EE"/>
    <w:rsid w:val="002D7842"/>
    <w:rsid w:val="002D7923"/>
    <w:rsid w:val="002E05FA"/>
    <w:rsid w:val="002E0625"/>
    <w:rsid w:val="002E0F6E"/>
    <w:rsid w:val="002E2001"/>
    <w:rsid w:val="002E21BC"/>
    <w:rsid w:val="002E246B"/>
    <w:rsid w:val="002E39AA"/>
    <w:rsid w:val="002E3BA0"/>
    <w:rsid w:val="002E4201"/>
    <w:rsid w:val="002E44BE"/>
    <w:rsid w:val="002E4F01"/>
    <w:rsid w:val="002E5647"/>
    <w:rsid w:val="002E57B1"/>
    <w:rsid w:val="002E5C16"/>
    <w:rsid w:val="002E621D"/>
    <w:rsid w:val="002E6F6D"/>
    <w:rsid w:val="002E788C"/>
    <w:rsid w:val="002E799B"/>
    <w:rsid w:val="002F056D"/>
    <w:rsid w:val="002F05A7"/>
    <w:rsid w:val="002F0A9E"/>
    <w:rsid w:val="002F0FA1"/>
    <w:rsid w:val="002F12F6"/>
    <w:rsid w:val="002F199E"/>
    <w:rsid w:val="002F3A23"/>
    <w:rsid w:val="002F3FD9"/>
    <w:rsid w:val="002F4052"/>
    <w:rsid w:val="002F48C7"/>
    <w:rsid w:val="002F49E5"/>
    <w:rsid w:val="002F67D6"/>
    <w:rsid w:val="002F6ADB"/>
    <w:rsid w:val="002F76EF"/>
    <w:rsid w:val="003000F7"/>
    <w:rsid w:val="0030086E"/>
    <w:rsid w:val="00301210"/>
    <w:rsid w:val="00301B8C"/>
    <w:rsid w:val="00304F6C"/>
    <w:rsid w:val="003059AB"/>
    <w:rsid w:val="00305B96"/>
    <w:rsid w:val="00305C49"/>
    <w:rsid w:val="00307A6D"/>
    <w:rsid w:val="00310DEA"/>
    <w:rsid w:val="0031179F"/>
    <w:rsid w:val="00311B54"/>
    <w:rsid w:val="00315F1C"/>
    <w:rsid w:val="003173CE"/>
    <w:rsid w:val="00317BAF"/>
    <w:rsid w:val="00321F10"/>
    <w:rsid w:val="00322438"/>
    <w:rsid w:val="00322DC6"/>
    <w:rsid w:val="003235A9"/>
    <w:rsid w:val="0032409E"/>
    <w:rsid w:val="00324A2C"/>
    <w:rsid w:val="003267EB"/>
    <w:rsid w:val="003268C2"/>
    <w:rsid w:val="003301E4"/>
    <w:rsid w:val="0033046F"/>
    <w:rsid w:val="0033055B"/>
    <w:rsid w:val="00330762"/>
    <w:rsid w:val="00330B5B"/>
    <w:rsid w:val="00332512"/>
    <w:rsid w:val="003326DB"/>
    <w:rsid w:val="00332A52"/>
    <w:rsid w:val="00333935"/>
    <w:rsid w:val="003346D6"/>
    <w:rsid w:val="00334862"/>
    <w:rsid w:val="00335692"/>
    <w:rsid w:val="00336FFB"/>
    <w:rsid w:val="003374CC"/>
    <w:rsid w:val="00337A8C"/>
    <w:rsid w:val="00341F75"/>
    <w:rsid w:val="00342222"/>
    <w:rsid w:val="0034263B"/>
    <w:rsid w:val="00344450"/>
    <w:rsid w:val="0034491A"/>
    <w:rsid w:val="00344FB8"/>
    <w:rsid w:val="00344FE6"/>
    <w:rsid w:val="00347273"/>
    <w:rsid w:val="003477DE"/>
    <w:rsid w:val="0034798C"/>
    <w:rsid w:val="00350767"/>
    <w:rsid w:val="00350B53"/>
    <w:rsid w:val="003513B2"/>
    <w:rsid w:val="00352B7E"/>
    <w:rsid w:val="00352CD9"/>
    <w:rsid w:val="003532F0"/>
    <w:rsid w:val="00353539"/>
    <w:rsid w:val="00353BFE"/>
    <w:rsid w:val="00353DE5"/>
    <w:rsid w:val="00353EB8"/>
    <w:rsid w:val="0035409A"/>
    <w:rsid w:val="003548E9"/>
    <w:rsid w:val="00355CDA"/>
    <w:rsid w:val="00355EA4"/>
    <w:rsid w:val="00357B00"/>
    <w:rsid w:val="00357DF5"/>
    <w:rsid w:val="003604A0"/>
    <w:rsid w:val="00362772"/>
    <w:rsid w:val="00362E56"/>
    <w:rsid w:val="003630D6"/>
    <w:rsid w:val="00364C8C"/>
    <w:rsid w:val="00365258"/>
    <w:rsid w:val="00370918"/>
    <w:rsid w:val="00371AF2"/>
    <w:rsid w:val="0037235E"/>
    <w:rsid w:val="00372F5D"/>
    <w:rsid w:val="00373010"/>
    <w:rsid w:val="003737C2"/>
    <w:rsid w:val="00373A93"/>
    <w:rsid w:val="00373F9B"/>
    <w:rsid w:val="00374655"/>
    <w:rsid w:val="00374C34"/>
    <w:rsid w:val="00375205"/>
    <w:rsid w:val="003762BA"/>
    <w:rsid w:val="00380726"/>
    <w:rsid w:val="00380B07"/>
    <w:rsid w:val="00381195"/>
    <w:rsid w:val="00381274"/>
    <w:rsid w:val="00381F94"/>
    <w:rsid w:val="00382AA7"/>
    <w:rsid w:val="00384357"/>
    <w:rsid w:val="00386087"/>
    <w:rsid w:val="00386BD5"/>
    <w:rsid w:val="0038718C"/>
    <w:rsid w:val="003904B0"/>
    <w:rsid w:val="00390799"/>
    <w:rsid w:val="00391114"/>
    <w:rsid w:val="00391AAF"/>
    <w:rsid w:val="00391E03"/>
    <w:rsid w:val="003921E4"/>
    <w:rsid w:val="003927D2"/>
    <w:rsid w:val="00394A86"/>
    <w:rsid w:val="0039561C"/>
    <w:rsid w:val="003961DD"/>
    <w:rsid w:val="0039721D"/>
    <w:rsid w:val="00397592"/>
    <w:rsid w:val="003978CA"/>
    <w:rsid w:val="003A0322"/>
    <w:rsid w:val="003A04C6"/>
    <w:rsid w:val="003A061D"/>
    <w:rsid w:val="003A1508"/>
    <w:rsid w:val="003A164D"/>
    <w:rsid w:val="003A25CB"/>
    <w:rsid w:val="003A2BB7"/>
    <w:rsid w:val="003A378A"/>
    <w:rsid w:val="003A40A1"/>
    <w:rsid w:val="003A4FCB"/>
    <w:rsid w:val="003A77FB"/>
    <w:rsid w:val="003B0239"/>
    <w:rsid w:val="003B04BC"/>
    <w:rsid w:val="003B2D3D"/>
    <w:rsid w:val="003B4189"/>
    <w:rsid w:val="003B4858"/>
    <w:rsid w:val="003B6FE4"/>
    <w:rsid w:val="003B78ED"/>
    <w:rsid w:val="003C044D"/>
    <w:rsid w:val="003C0759"/>
    <w:rsid w:val="003C0836"/>
    <w:rsid w:val="003C0D22"/>
    <w:rsid w:val="003C26F7"/>
    <w:rsid w:val="003C27BF"/>
    <w:rsid w:val="003C2C4E"/>
    <w:rsid w:val="003C2E33"/>
    <w:rsid w:val="003C30A2"/>
    <w:rsid w:val="003C3F31"/>
    <w:rsid w:val="003C46D0"/>
    <w:rsid w:val="003C5458"/>
    <w:rsid w:val="003C550A"/>
    <w:rsid w:val="003C6682"/>
    <w:rsid w:val="003C6901"/>
    <w:rsid w:val="003C6C78"/>
    <w:rsid w:val="003C7033"/>
    <w:rsid w:val="003D03F3"/>
    <w:rsid w:val="003D1863"/>
    <w:rsid w:val="003D44DC"/>
    <w:rsid w:val="003D5073"/>
    <w:rsid w:val="003D6353"/>
    <w:rsid w:val="003D6F78"/>
    <w:rsid w:val="003E061E"/>
    <w:rsid w:val="003E1283"/>
    <w:rsid w:val="003E232E"/>
    <w:rsid w:val="003E3945"/>
    <w:rsid w:val="003E40AA"/>
    <w:rsid w:val="003E4711"/>
    <w:rsid w:val="003E4ED4"/>
    <w:rsid w:val="003E4F8A"/>
    <w:rsid w:val="003E58F4"/>
    <w:rsid w:val="003E5FDB"/>
    <w:rsid w:val="003E6142"/>
    <w:rsid w:val="003E756A"/>
    <w:rsid w:val="003F0C1C"/>
    <w:rsid w:val="003F0E0F"/>
    <w:rsid w:val="003F14A7"/>
    <w:rsid w:val="003F1EB3"/>
    <w:rsid w:val="003F1ECE"/>
    <w:rsid w:val="003F2514"/>
    <w:rsid w:val="003F2EA5"/>
    <w:rsid w:val="003F30FE"/>
    <w:rsid w:val="003F63F1"/>
    <w:rsid w:val="003F6A8D"/>
    <w:rsid w:val="003F776A"/>
    <w:rsid w:val="003F79D6"/>
    <w:rsid w:val="003F7B56"/>
    <w:rsid w:val="00400538"/>
    <w:rsid w:val="004008AF"/>
    <w:rsid w:val="00401232"/>
    <w:rsid w:val="0040141A"/>
    <w:rsid w:val="0040273E"/>
    <w:rsid w:val="00403171"/>
    <w:rsid w:val="004032B4"/>
    <w:rsid w:val="00403E21"/>
    <w:rsid w:val="00404C9E"/>
    <w:rsid w:val="00405153"/>
    <w:rsid w:val="004064D2"/>
    <w:rsid w:val="004070F6"/>
    <w:rsid w:val="0040760C"/>
    <w:rsid w:val="0040765F"/>
    <w:rsid w:val="00410C0A"/>
    <w:rsid w:val="0041164D"/>
    <w:rsid w:val="00411C5C"/>
    <w:rsid w:val="004127A5"/>
    <w:rsid w:val="00412FBE"/>
    <w:rsid w:val="0041334B"/>
    <w:rsid w:val="00414119"/>
    <w:rsid w:val="004157C4"/>
    <w:rsid w:val="0041596A"/>
    <w:rsid w:val="00415A36"/>
    <w:rsid w:val="00416649"/>
    <w:rsid w:val="00416F4F"/>
    <w:rsid w:val="0042122F"/>
    <w:rsid w:val="00422A61"/>
    <w:rsid w:val="00423AF8"/>
    <w:rsid w:val="00423B2E"/>
    <w:rsid w:val="00423BBE"/>
    <w:rsid w:val="00424226"/>
    <w:rsid w:val="00424BE3"/>
    <w:rsid w:val="00424D49"/>
    <w:rsid w:val="00425090"/>
    <w:rsid w:val="00430A4B"/>
    <w:rsid w:val="00430E47"/>
    <w:rsid w:val="00431030"/>
    <w:rsid w:val="00431E75"/>
    <w:rsid w:val="004326A3"/>
    <w:rsid w:val="0043356E"/>
    <w:rsid w:val="004357EE"/>
    <w:rsid w:val="0043757D"/>
    <w:rsid w:val="00437854"/>
    <w:rsid w:val="004379AB"/>
    <w:rsid w:val="00437B41"/>
    <w:rsid w:val="00437B4B"/>
    <w:rsid w:val="0044042F"/>
    <w:rsid w:val="0044358E"/>
    <w:rsid w:val="004436FB"/>
    <w:rsid w:val="00443F0B"/>
    <w:rsid w:val="00445985"/>
    <w:rsid w:val="00446053"/>
    <w:rsid w:val="00446FA6"/>
    <w:rsid w:val="004504E6"/>
    <w:rsid w:val="00450AB5"/>
    <w:rsid w:val="00450EEB"/>
    <w:rsid w:val="0045314A"/>
    <w:rsid w:val="00453715"/>
    <w:rsid w:val="004544BB"/>
    <w:rsid w:val="00455410"/>
    <w:rsid w:val="00455B28"/>
    <w:rsid w:val="0045645C"/>
    <w:rsid w:val="004576B5"/>
    <w:rsid w:val="00461FD6"/>
    <w:rsid w:val="00462528"/>
    <w:rsid w:val="00462640"/>
    <w:rsid w:val="00462735"/>
    <w:rsid w:val="00462996"/>
    <w:rsid w:val="00465BD6"/>
    <w:rsid w:val="00466668"/>
    <w:rsid w:val="004701C2"/>
    <w:rsid w:val="00470520"/>
    <w:rsid w:val="00470FA0"/>
    <w:rsid w:val="00471351"/>
    <w:rsid w:val="004713D0"/>
    <w:rsid w:val="0047204B"/>
    <w:rsid w:val="00472342"/>
    <w:rsid w:val="004723A6"/>
    <w:rsid w:val="00472B81"/>
    <w:rsid w:val="00472F3C"/>
    <w:rsid w:val="0047371C"/>
    <w:rsid w:val="00473EE9"/>
    <w:rsid w:val="00474CD7"/>
    <w:rsid w:val="004761DB"/>
    <w:rsid w:val="0047631C"/>
    <w:rsid w:val="004766F0"/>
    <w:rsid w:val="00476E91"/>
    <w:rsid w:val="00477668"/>
    <w:rsid w:val="0047793C"/>
    <w:rsid w:val="00477A22"/>
    <w:rsid w:val="00477DFF"/>
    <w:rsid w:val="004803E5"/>
    <w:rsid w:val="00480EB5"/>
    <w:rsid w:val="00481F0A"/>
    <w:rsid w:val="00482016"/>
    <w:rsid w:val="00483C36"/>
    <w:rsid w:val="0048440F"/>
    <w:rsid w:val="00484FD3"/>
    <w:rsid w:val="00485194"/>
    <w:rsid w:val="0048532E"/>
    <w:rsid w:val="00487AF7"/>
    <w:rsid w:val="00487E86"/>
    <w:rsid w:val="004908D5"/>
    <w:rsid w:val="0049116D"/>
    <w:rsid w:val="004923E8"/>
    <w:rsid w:val="0049265D"/>
    <w:rsid w:val="00493956"/>
    <w:rsid w:val="00493B6F"/>
    <w:rsid w:val="00494203"/>
    <w:rsid w:val="004949AD"/>
    <w:rsid w:val="00494A8F"/>
    <w:rsid w:val="00495357"/>
    <w:rsid w:val="00496CBB"/>
    <w:rsid w:val="004A0848"/>
    <w:rsid w:val="004A17C7"/>
    <w:rsid w:val="004A1ABA"/>
    <w:rsid w:val="004A2C23"/>
    <w:rsid w:val="004A3580"/>
    <w:rsid w:val="004A35A7"/>
    <w:rsid w:val="004A6D2A"/>
    <w:rsid w:val="004A6D72"/>
    <w:rsid w:val="004A7B75"/>
    <w:rsid w:val="004B35D5"/>
    <w:rsid w:val="004B3820"/>
    <w:rsid w:val="004B4521"/>
    <w:rsid w:val="004B5881"/>
    <w:rsid w:val="004B6520"/>
    <w:rsid w:val="004B7779"/>
    <w:rsid w:val="004B7DB1"/>
    <w:rsid w:val="004C0EA2"/>
    <w:rsid w:val="004C2F25"/>
    <w:rsid w:val="004C39F6"/>
    <w:rsid w:val="004C3A87"/>
    <w:rsid w:val="004C4D5B"/>
    <w:rsid w:val="004C5234"/>
    <w:rsid w:val="004C5507"/>
    <w:rsid w:val="004C5FD6"/>
    <w:rsid w:val="004C64CB"/>
    <w:rsid w:val="004C7CD7"/>
    <w:rsid w:val="004D00F7"/>
    <w:rsid w:val="004D03D0"/>
    <w:rsid w:val="004D12DE"/>
    <w:rsid w:val="004D560C"/>
    <w:rsid w:val="004D5EB2"/>
    <w:rsid w:val="004D66FF"/>
    <w:rsid w:val="004D6A0A"/>
    <w:rsid w:val="004D779F"/>
    <w:rsid w:val="004D7B92"/>
    <w:rsid w:val="004E13F3"/>
    <w:rsid w:val="004E190D"/>
    <w:rsid w:val="004E2E09"/>
    <w:rsid w:val="004E33DD"/>
    <w:rsid w:val="004E455F"/>
    <w:rsid w:val="004E6183"/>
    <w:rsid w:val="004E7312"/>
    <w:rsid w:val="004E7908"/>
    <w:rsid w:val="004E7A31"/>
    <w:rsid w:val="004E7FE8"/>
    <w:rsid w:val="004F146F"/>
    <w:rsid w:val="004F3066"/>
    <w:rsid w:val="004F3294"/>
    <w:rsid w:val="004F3A60"/>
    <w:rsid w:val="004F4D6A"/>
    <w:rsid w:val="004F55FF"/>
    <w:rsid w:val="004F58CD"/>
    <w:rsid w:val="004F7A4B"/>
    <w:rsid w:val="005004D8"/>
    <w:rsid w:val="00500595"/>
    <w:rsid w:val="0050334B"/>
    <w:rsid w:val="00504473"/>
    <w:rsid w:val="00504E94"/>
    <w:rsid w:val="00506140"/>
    <w:rsid w:val="00507227"/>
    <w:rsid w:val="00507A09"/>
    <w:rsid w:val="00512CDF"/>
    <w:rsid w:val="00512EF4"/>
    <w:rsid w:val="005149BB"/>
    <w:rsid w:val="005150EC"/>
    <w:rsid w:val="005160FD"/>
    <w:rsid w:val="005161E3"/>
    <w:rsid w:val="0052011E"/>
    <w:rsid w:val="00520C58"/>
    <w:rsid w:val="00520E4B"/>
    <w:rsid w:val="0052232C"/>
    <w:rsid w:val="00522CA3"/>
    <w:rsid w:val="005237AF"/>
    <w:rsid w:val="005250CB"/>
    <w:rsid w:val="00525361"/>
    <w:rsid w:val="005255EF"/>
    <w:rsid w:val="00525610"/>
    <w:rsid w:val="005257E3"/>
    <w:rsid w:val="005258A7"/>
    <w:rsid w:val="00526060"/>
    <w:rsid w:val="00526AE0"/>
    <w:rsid w:val="005279D8"/>
    <w:rsid w:val="00527EE6"/>
    <w:rsid w:val="00530B31"/>
    <w:rsid w:val="00531692"/>
    <w:rsid w:val="00532FB2"/>
    <w:rsid w:val="00533037"/>
    <w:rsid w:val="00533740"/>
    <w:rsid w:val="00533D8F"/>
    <w:rsid w:val="00536251"/>
    <w:rsid w:val="00536A5D"/>
    <w:rsid w:val="0053725F"/>
    <w:rsid w:val="0053780E"/>
    <w:rsid w:val="00537F17"/>
    <w:rsid w:val="0054097F"/>
    <w:rsid w:val="005409E8"/>
    <w:rsid w:val="00540D36"/>
    <w:rsid w:val="005427E2"/>
    <w:rsid w:val="005445AA"/>
    <w:rsid w:val="005452C7"/>
    <w:rsid w:val="005460C3"/>
    <w:rsid w:val="0054613E"/>
    <w:rsid w:val="0054692C"/>
    <w:rsid w:val="00547228"/>
    <w:rsid w:val="005476CC"/>
    <w:rsid w:val="00547860"/>
    <w:rsid w:val="00550C84"/>
    <w:rsid w:val="00551116"/>
    <w:rsid w:val="00552E8D"/>
    <w:rsid w:val="00552F7B"/>
    <w:rsid w:val="00553CB0"/>
    <w:rsid w:val="00555974"/>
    <w:rsid w:val="0055659A"/>
    <w:rsid w:val="005566A4"/>
    <w:rsid w:val="00556994"/>
    <w:rsid w:val="00556E91"/>
    <w:rsid w:val="00557513"/>
    <w:rsid w:val="0056001A"/>
    <w:rsid w:val="00560236"/>
    <w:rsid w:val="00561527"/>
    <w:rsid w:val="00561C4F"/>
    <w:rsid w:val="005628F2"/>
    <w:rsid w:val="0056456D"/>
    <w:rsid w:val="00565293"/>
    <w:rsid w:val="00565AB3"/>
    <w:rsid w:val="0056607A"/>
    <w:rsid w:val="005661FB"/>
    <w:rsid w:val="0057017C"/>
    <w:rsid w:val="005703D2"/>
    <w:rsid w:val="005705D2"/>
    <w:rsid w:val="00570B8D"/>
    <w:rsid w:val="0057151F"/>
    <w:rsid w:val="00571E81"/>
    <w:rsid w:val="0057254A"/>
    <w:rsid w:val="005726DA"/>
    <w:rsid w:val="005727F9"/>
    <w:rsid w:val="00572F2A"/>
    <w:rsid w:val="005733A7"/>
    <w:rsid w:val="005735DE"/>
    <w:rsid w:val="00573A97"/>
    <w:rsid w:val="00574079"/>
    <w:rsid w:val="005749CB"/>
    <w:rsid w:val="00574E5D"/>
    <w:rsid w:val="0057711D"/>
    <w:rsid w:val="00577E1A"/>
    <w:rsid w:val="00581AC5"/>
    <w:rsid w:val="00581F24"/>
    <w:rsid w:val="0058322B"/>
    <w:rsid w:val="00585096"/>
    <w:rsid w:val="00585771"/>
    <w:rsid w:val="00586392"/>
    <w:rsid w:val="00586899"/>
    <w:rsid w:val="00587246"/>
    <w:rsid w:val="005872B5"/>
    <w:rsid w:val="00587361"/>
    <w:rsid w:val="005877EA"/>
    <w:rsid w:val="00587C3B"/>
    <w:rsid w:val="0059095A"/>
    <w:rsid w:val="00592B3C"/>
    <w:rsid w:val="00593151"/>
    <w:rsid w:val="0059344E"/>
    <w:rsid w:val="005946B2"/>
    <w:rsid w:val="005947A3"/>
    <w:rsid w:val="0059494A"/>
    <w:rsid w:val="00595C42"/>
    <w:rsid w:val="005960FF"/>
    <w:rsid w:val="005963E6"/>
    <w:rsid w:val="00596C64"/>
    <w:rsid w:val="00596F8B"/>
    <w:rsid w:val="005970F3"/>
    <w:rsid w:val="005A1698"/>
    <w:rsid w:val="005A2011"/>
    <w:rsid w:val="005A22BA"/>
    <w:rsid w:val="005A2374"/>
    <w:rsid w:val="005A3824"/>
    <w:rsid w:val="005A476D"/>
    <w:rsid w:val="005A4D0E"/>
    <w:rsid w:val="005A4F17"/>
    <w:rsid w:val="005A6D00"/>
    <w:rsid w:val="005A76E7"/>
    <w:rsid w:val="005A7D59"/>
    <w:rsid w:val="005A7F0B"/>
    <w:rsid w:val="005B007C"/>
    <w:rsid w:val="005B18AC"/>
    <w:rsid w:val="005B297D"/>
    <w:rsid w:val="005B2CB0"/>
    <w:rsid w:val="005B3594"/>
    <w:rsid w:val="005B49EE"/>
    <w:rsid w:val="005B68AB"/>
    <w:rsid w:val="005B712C"/>
    <w:rsid w:val="005B7BE6"/>
    <w:rsid w:val="005C0477"/>
    <w:rsid w:val="005C16EE"/>
    <w:rsid w:val="005C3D77"/>
    <w:rsid w:val="005C4E3A"/>
    <w:rsid w:val="005C55BA"/>
    <w:rsid w:val="005C5953"/>
    <w:rsid w:val="005C5DC2"/>
    <w:rsid w:val="005C633A"/>
    <w:rsid w:val="005C6B70"/>
    <w:rsid w:val="005C725F"/>
    <w:rsid w:val="005C7451"/>
    <w:rsid w:val="005D05A2"/>
    <w:rsid w:val="005D0D05"/>
    <w:rsid w:val="005D2030"/>
    <w:rsid w:val="005D2CED"/>
    <w:rsid w:val="005D4305"/>
    <w:rsid w:val="005D4408"/>
    <w:rsid w:val="005D4632"/>
    <w:rsid w:val="005D51CD"/>
    <w:rsid w:val="005D6BF1"/>
    <w:rsid w:val="005D79FE"/>
    <w:rsid w:val="005E00DA"/>
    <w:rsid w:val="005E05FB"/>
    <w:rsid w:val="005E0766"/>
    <w:rsid w:val="005E0B55"/>
    <w:rsid w:val="005E1092"/>
    <w:rsid w:val="005E2089"/>
    <w:rsid w:val="005E2D58"/>
    <w:rsid w:val="005E43FB"/>
    <w:rsid w:val="005E467D"/>
    <w:rsid w:val="005E4BD6"/>
    <w:rsid w:val="005E554F"/>
    <w:rsid w:val="005E5821"/>
    <w:rsid w:val="005E6037"/>
    <w:rsid w:val="005E77B2"/>
    <w:rsid w:val="005E7B98"/>
    <w:rsid w:val="005E7C8A"/>
    <w:rsid w:val="005F1061"/>
    <w:rsid w:val="005F172E"/>
    <w:rsid w:val="005F278F"/>
    <w:rsid w:val="005F2B7F"/>
    <w:rsid w:val="005F3047"/>
    <w:rsid w:val="005F3A94"/>
    <w:rsid w:val="005F3E95"/>
    <w:rsid w:val="005F47AC"/>
    <w:rsid w:val="005F49CB"/>
    <w:rsid w:val="005F5EF4"/>
    <w:rsid w:val="005F6132"/>
    <w:rsid w:val="005F72B7"/>
    <w:rsid w:val="00600549"/>
    <w:rsid w:val="00600E62"/>
    <w:rsid w:val="00601EAE"/>
    <w:rsid w:val="00603CAD"/>
    <w:rsid w:val="00604075"/>
    <w:rsid w:val="006065BF"/>
    <w:rsid w:val="00606A9D"/>
    <w:rsid w:val="00606D40"/>
    <w:rsid w:val="0060756B"/>
    <w:rsid w:val="00610A56"/>
    <w:rsid w:val="0061137D"/>
    <w:rsid w:val="00611516"/>
    <w:rsid w:val="00611624"/>
    <w:rsid w:val="00613B2B"/>
    <w:rsid w:val="006140C6"/>
    <w:rsid w:val="006141F9"/>
    <w:rsid w:val="00614600"/>
    <w:rsid w:val="00614DDA"/>
    <w:rsid w:val="00615629"/>
    <w:rsid w:val="00615A15"/>
    <w:rsid w:val="00616035"/>
    <w:rsid w:val="00616A66"/>
    <w:rsid w:val="00617005"/>
    <w:rsid w:val="00617365"/>
    <w:rsid w:val="00621270"/>
    <w:rsid w:val="00621314"/>
    <w:rsid w:val="00621AD8"/>
    <w:rsid w:val="00621D86"/>
    <w:rsid w:val="00622036"/>
    <w:rsid w:val="006228AF"/>
    <w:rsid w:val="0062406C"/>
    <w:rsid w:val="00624A4D"/>
    <w:rsid w:val="00624A54"/>
    <w:rsid w:val="00625215"/>
    <w:rsid w:val="00625502"/>
    <w:rsid w:val="00626242"/>
    <w:rsid w:val="00630567"/>
    <w:rsid w:val="00631951"/>
    <w:rsid w:val="00631C31"/>
    <w:rsid w:val="00631D8A"/>
    <w:rsid w:val="006335A6"/>
    <w:rsid w:val="00634111"/>
    <w:rsid w:val="00634CA3"/>
    <w:rsid w:val="00635295"/>
    <w:rsid w:val="0063711C"/>
    <w:rsid w:val="006406F5"/>
    <w:rsid w:val="006414C5"/>
    <w:rsid w:val="00643300"/>
    <w:rsid w:val="006438BF"/>
    <w:rsid w:val="00643AD4"/>
    <w:rsid w:val="00644991"/>
    <w:rsid w:val="00644AA2"/>
    <w:rsid w:val="00644D94"/>
    <w:rsid w:val="006450C9"/>
    <w:rsid w:val="00645AC6"/>
    <w:rsid w:val="00645B96"/>
    <w:rsid w:val="00647A16"/>
    <w:rsid w:val="0065004B"/>
    <w:rsid w:val="00650A02"/>
    <w:rsid w:val="00650BE0"/>
    <w:rsid w:val="00650CAF"/>
    <w:rsid w:val="00652B6A"/>
    <w:rsid w:val="00652C5B"/>
    <w:rsid w:val="00653CDD"/>
    <w:rsid w:val="00653D7A"/>
    <w:rsid w:val="006542F7"/>
    <w:rsid w:val="0065461A"/>
    <w:rsid w:val="006547F7"/>
    <w:rsid w:val="00654B9F"/>
    <w:rsid w:val="006553E9"/>
    <w:rsid w:val="00655583"/>
    <w:rsid w:val="00655644"/>
    <w:rsid w:val="00657B49"/>
    <w:rsid w:val="00657DCB"/>
    <w:rsid w:val="00660987"/>
    <w:rsid w:val="006629CD"/>
    <w:rsid w:val="006638E6"/>
    <w:rsid w:val="00663F5D"/>
    <w:rsid w:val="006643C1"/>
    <w:rsid w:val="006646B0"/>
    <w:rsid w:val="00664F33"/>
    <w:rsid w:val="006657F2"/>
    <w:rsid w:val="006669E7"/>
    <w:rsid w:val="00666AE5"/>
    <w:rsid w:val="00666C30"/>
    <w:rsid w:val="006675F3"/>
    <w:rsid w:val="00670F79"/>
    <w:rsid w:val="00674337"/>
    <w:rsid w:val="00674A96"/>
    <w:rsid w:val="00676361"/>
    <w:rsid w:val="006768BC"/>
    <w:rsid w:val="00676CF1"/>
    <w:rsid w:val="00680132"/>
    <w:rsid w:val="00681992"/>
    <w:rsid w:val="00682875"/>
    <w:rsid w:val="00682BE0"/>
    <w:rsid w:val="0068301A"/>
    <w:rsid w:val="006837CE"/>
    <w:rsid w:val="00684056"/>
    <w:rsid w:val="00685779"/>
    <w:rsid w:val="00686747"/>
    <w:rsid w:val="00686942"/>
    <w:rsid w:val="00686D54"/>
    <w:rsid w:val="00686D74"/>
    <w:rsid w:val="00686D80"/>
    <w:rsid w:val="006910E3"/>
    <w:rsid w:val="00692E42"/>
    <w:rsid w:val="00694683"/>
    <w:rsid w:val="0069638E"/>
    <w:rsid w:val="00696454"/>
    <w:rsid w:val="00696749"/>
    <w:rsid w:val="006967F7"/>
    <w:rsid w:val="00697169"/>
    <w:rsid w:val="006972AB"/>
    <w:rsid w:val="0069771D"/>
    <w:rsid w:val="006A06BD"/>
    <w:rsid w:val="006A07E0"/>
    <w:rsid w:val="006A0860"/>
    <w:rsid w:val="006A11E2"/>
    <w:rsid w:val="006A2952"/>
    <w:rsid w:val="006A2BE0"/>
    <w:rsid w:val="006A3548"/>
    <w:rsid w:val="006A3E2A"/>
    <w:rsid w:val="006A4723"/>
    <w:rsid w:val="006A60AB"/>
    <w:rsid w:val="006A616E"/>
    <w:rsid w:val="006A7574"/>
    <w:rsid w:val="006A79D1"/>
    <w:rsid w:val="006B093D"/>
    <w:rsid w:val="006B0CA4"/>
    <w:rsid w:val="006B2E6E"/>
    <w:rsid w:val="006B55E9"/>
    <w:rsid w:val="006B6270"/>
    <w:rsid w:val="006B62A1"/>
    <w:rsid w:val="006B6D9F"/>
    <w:rsid w:val="006C0928"/>
    <w:rsid w:val="006C1DED"/>
    <w:rsid w:val="006C2B5C"/>
    <w:rsid w:val="006C2B99"/>
    <w:rsid w:val="006C2D8F"/>
    <w:rsid w:val="006C3EF0"/>
    <w:rsid w:val="006C440F"/>
    <w:rsid w:val="006C68E8"/>
    <w:rsid w:val="006C7057"/>
    <w:rsid w:val="006C75B0"/>
    <w:rsid w:val="006C7C93"/>
    <w:rsid w:val="006D04C1"/>
    <w:rsid w:val="006D1938"/>
    <w:rsid w:val="006D2611"/>
    <w:rsid w:val="006D4B48"/>
    <w:rsid w:val="006D4FBC"/>
    <w:rsid w:val="006D507F"/>
    <w:rsid w:val="006D52E8"/>
    <w:rsid w:val="006D5A7A"/>
    <w:rsid w:val="006D7DAD"/>
    <w:rsid w:val="006E04E1"/>
    <w:rsid w:val="006E07E4"/>
    <w:rsid w:val="006E0ED6"/>
    <w:rsid w:val="006E0EEB"/>
    <w:rsid w:val="006E12B2"/>
    <w:rsid w:val="006E140A"/>
    <w:rsid w:val="006E19F4"/>
    <w:rsid w:val="006E1FB4"/>
    <w:rsid w:val="006E2137"/>
    <w:rsid w:val="006E2994"/>
    <w:rsid w:val="006E391C"/>
    <w:rsid w:val="006E5630"/>
    <w:rsid w:val="006E5FE3"/>
    <w:rsid w:val="006E60CA"/>
    <w:rsid w:val="006E61B3"/>
    <w:rsid w:val="006E6ED5"/>
    <w:rsid w:val="006E76F9"/>
    <w:rsid w:val="006E7ABA"/>
    <w:rsid w:val="006F01C1"/>
    <w:rsid w:val="006F045D"/>
    <w:rsid w:val="006F21A5"/>
    <w:rsid w:val="006F39BF"/>
    <w:rsid w:val="006F44E2"/>
    <w:rsid w:val="006F4756"/>
    <w:rsid w:val="006F4D86"/>
    <w:rsid w:val="006F4E96"/>
    <w:rsid w:val="006F4F6A"/>
    <w:rsid w:val="006F53E3"/>
    <w:rsid w:val="006F64E0"/>
    <w:rsid w:val="00700ACE"/>
    <w:rsid w:val="007029F8"/>
    <w:rsid w:val="00703BFE"/>
    <w:rsid w:val="00705AF5"/>
    <w:rsid w:val="00705CCD"/>
    <w:rsid w:val="007066BB"/>
    <w:rsid w:val="007101FD"/>
    <w:rsid w:val="007111D7"/>
    <w:rsid w:val="00711324"/>
    <w:rsid w:val="007114C4"/>
    <w:rsid w:val="007124B2"/>
    <w:rsid w:val="007127DC"/>
    <w:rsid w:val="00713108"/>
    <w:rsid w:val="007138F2"/>
    <w:rsid w:val="0071406A"/>
    <w:rsid w:val="0071670A"/>
    <w:rsid w:val="007168DC"/>
    <w:rsid w:val="0071694B"/>
    <w:rsid w:val="00716C6A"/>
    <w:rsid w:val="00717836"/>
    <w:rsid w:val="0072145F"/>
    <w:rsid w:val="00721748"/>
    <w:rsid w:val="00722581"/>
    <w:rsid w:val="007230D2"/>
    <w:rsid w:val="007236AC"/>
    <w:rsid w:val="00723F15"/>
    <w:rsid w:val="0072471B"/>
    <w:rsid w:val="00725099"/>
    <w:rsid w:val="0072540C"/>
    <w:rsid w:val="00727D0C"/>
    <w:rsid w:val="00730832"/>
    <w:rsid w:val="00730EE3"/>
    <w:rsid w:val="00731CFA"/>
    <w:rsid w:val="00732D11"/>
    <w:rsid w:val="00732F45"/>
    <w:rsid w:val="00734FD6"/>
    <w:rsid w:val="007361B5"/>
    <w:rsid w:val="0073786D"/>
    <w:rsid w:val="00742687"/>
    <w:rsid w:val="007449EB"/>
    <w:rsid w:val="00745467"/>
    <w:rsid w:val="00745640"/>
    <w:rsid w:val="00745D8E"/>
    <w:rsid w:val="00746480"/>
    <w:rsid w:val="0074655F"/>
    <w:rsid w:val="007475F1"/>
    <w:rsid w:val="00751D3C"/>
    <w:rsid w:val="00752681"/>
    <w:rsid w:val="0075293A"/>
    <w:rsid w:val="007533C1"/>
    <w:rsid w:val="007538A4"/>
    <w:rsid w:val="00753B16"/>
    <w:rsid w:val="00753B77"/>
    <w:rsid w:val="00754048"/>
    <w:rsid w:val="00754254"/>
    <w:rsid w:val="007547CD"/>
    <w:rsid w:val="00756D27"/>
    <w:rsid w:val="0075780A"/>
    <w:rsid w:val="00757848"/>
    <w:rsid w:val="007606EC"/>
    <w:rsid w:val="0076178E"/>
    <w:rsid w:val="00762760"/>
    <w:rsid w:val="00763F00"/>
    <w:rsid w:val="00764493"/>
    <w:rsid w:val="00764673"/>
    <w:rsid w:val="007663EF"/>
    <w:rsid w:val="0076777B"/>
    <w:rsid w:val="00767A51"/>
    <w:rsid w:val="00767F6A"/>
    <w:rsid w:val="007705BC"/>
    <w:rsid w:val="00771244"/>
    <w:rsid w:val="00771A65"/>
    <w:rsid w:val="007723D4"/>
    <w:rsid w:val="00772DBD"/>
    <w:rsid w:val="00772E3E"/>
    <w:rsid w:val="00775751"/>
    <w:rsid w:val="00775C16"/>
    <w:rsid w:val="00775F98"/>
    <w:rsid w:val="007762D6"/>
    <w:rsid w:val="007800D4"/>
    <w:rsid w:val="007802E2"/>
    <w:rsid w:val="00780FC0"/>
    <w:rsid w:val="007828EB"/>
    <w:rsid w:val="00782934"/>
    <w:rsid w:val="007829F1"/>
    <w:rsid w:val="00783706"/>
    <w:rsid w:val="00783FFD"/>
    <w:rsid w:val="007848E5"/>
    <w:rsid w:val="00785406"/>
    <w:rsid w:val="00786742"/>
    <w:rsid w:val="00786849"/>
    <w:rsid w:val="00786979"/>
    <w:rsid w:val="007877CE"/>
    <w:rsid w:val="0078785A"/>
    <w:rsid w:val="00787EEA"/>
    <w:rsid w:val="00790C30"/>
    <w:rsid w:val="00791CF7"/>
    <w:rsid w:val="00791F35"/>
    <w:rsid w:val="00792558"/>
    <w:rsid w:val="0079378E"/>
    <w:rsid w:val="00793B1A"/>
    <w:rsid w:val="00795E62"/>
    <w:rsid w:val="007975B4"/>
    <w:rsid w:val="00797669"/>
    <w:rsid w:val="00797C11"/>
    <w:rsid w:val="00797CDC"/>
    <w:rsid w:val="007A08F1"/>
    <w:rsid w:val="007A1082"/>
    <w:rsid w:val="007A165F"/>
    <w:rsid w:val="007A1D86"/>
    <w:rsid w:val="007A20C6"/>
    <w:rsid w:val="007A2CA0"/>
    <w:rsid w:val="007A2F27"/>
    <w:rsid w:val="007A343A"/>
    <w:rsid w:val="007A3557"/>
    <w:rsid w:val="007A3D40"/>
    <w:rsid w:val="007A4301"/>
    <w:rsid w:val="007A54DE"/>
    <w:rsid w:val="007A5701"/>
    <w:rsid w:val="007A590D"/>
    <w:rsid w:val="007A6635"/>
    <w:rsid w:val="007A6ADF"/>
    <w:rsid w:val="007A7ACC"/>
    <w:rsid w:val="007B03C0"/>
    <w:rsid w:val="007B1543"/>
    <w:rsid w:val="007B1DAA"/>
    <w:rsid w:val="007B1E20"/>
    <w:rsid w:val="007B2600"/>
    <w:rsid w:val="007B384D"/>
    <w:rsid w:val="007B3FF5"/>
    <w:rsid w:val="007B4383"/>
    <w:rsid w:val="007B4AB4"/>
    <w:rsid w:val="007B640D"/>
    <w:rsid w:val="007B7D51"/>
    <w:rsid w:val="007C0C20"/>
    <w:rsid w:val="007C1701"/>
    <w:rsid w:val="007C2D22"/>
    <w:rsid w:val="007C3081"/>
    <w:rsid w:val="007C31DD"/>
    <w:rsid w:val="007C3848"/>
    <w:rsid w:val="007C3ABA"/>
    <w:rsid w:val="007C3F48"/>
    <w:rsid w:val="007C4BA9"/>
    <w:rsid w:val="007C4E9D"/>
    <w:rsid w:val="007C52A1"/>
    <w:rsid w:val="007D120C"/>
    <w:rsid w:val="007D27EB"/>
    <w:rsid w:val="007D43A8"/>
    <w:rsid w:val="007D52C4"/>
    <w:rsid w:val="007D5372"/>
    <w:rsid w:val="007D57B0"/>
    <w:rsid w:val="007D5E38"/>
    <w:rsid w:val="007D5F74"/>
    <w:rsid w:val="007D6A1A"/>
    <w:rsid w:val="007D6C2C"/>
    <w:rsid w:val="007D6D32"/>
    <w:rsid w:val="007D7B0E"/>
    <w:rsid w:val="007E0AFB"/>
    <w:rsid w:val="007E1173"/>
    <w:rsid w:val="007E24F5"/>
    <w:rsid w:val="007E26FF"/>
    <w:rsid w:val="007E3712"/>
    <w:rsid w:val="007E3B4C"/>
    <w:rsid w:val="007E485B"/>
    <w:rsid w:val="007E56FC"/>
    <w:rsid w:val="007E673A"/>
    <w:rsid w:val="007E6886"/>
    <w:rsid w:val="007E6CB6"/>
    <w:rsid w:val="007E774D"/>
    <w:rsid w:val="007F0DE2"/>
    <w:rsid w:val="007F11E9"/>
    <w:rsid w:val="007F1A94"/>
    <w:rsid w:val="007F205D"/>
    <w:rsid w:val="007F2875"/>
    <w:rsid w:val="007F5E8B"/>
    <w:rsid w:val="007F6ED6"/>
    <w:rsid w:val="007F77B8"/>
    <w:rsid w:val="007F7896"/>
    <w:rsid w:val="007F78E7"/>
    <w:rsid w:val="0080068F"/>
    <w:rsid w:val="00801362"/>
    <w:rsid w:val="00801FB1"/>
    <w:rsid w:val="00802B5E"/>
    <w:rsid w:val="008049FC"/>
    <w:rsid w:val="00806B04"/>
    <w:rsid w:val="0080737D"/>
    <w:rsid w:val="00807629"/>
    <w:rsid w:val="00807912"/>
    <w:rsid w:val="00811296"/>
    <w:rsid w:val="00811422"/>
    <w:rsid w:val="008116D6"/>
    <w:rsid w:val="00812DB1"/>
    <w:rsid w:val="00813661"/>
    <w:rsid w:val="00814537"/>
    <w:rsid w:val="00815654"/>
    <w:rsid w:val="00816CC3"/>
    <w:rsid w:val="008209BA"/>
    <w:rsid w:val="0082397A"/>
    <w:rsid w:val="008239E5"/>
    <w:rsid w:val="00823BDA"/>
    <w:rsid w:val="0082491C"/>
    <w:rsid w:val="00825323"/>
    <w:rsid w:val="008253F8"/>
    <w:rsid w:val="00825783"/>
    <w:rsid w:val="00830DFD"/>
    <w:rsid w:val="008329C9"/>
    <w:rsid w:val="0083306A"/>
    <w:rsid w:val="008332B0"/>
    <w:rsid w:val="0083352C"/>
    <w:rsid w:val="008339A5"/>
    <w:rsid w:val="00833CCD"/>
    <w:rsid w:val="00834A92"/>
    <w:rsid w:val="00834B06"/>
    <w:rsid w:val="00836944"/>
    <w:rsid w:val="00837DE7"/>
    <w:rsid w:val="008409F0"/>
    <w:rsid w:val="0084206D"/>
    <w:rsid w:val="0084215A"/>
    <w:rsid w:val="00846DAE"/>
    <w:rsid w:val="00852100"/>
    <w:rsid w:val="008533DF"/>
    <w:rsid w:val="00853D76"/>
    <w:rsid w:val="00854EF1"/>
    <w:rsid w:val="00854FB1"/>
    <w:rsid w:val="008556F2"/>
    <w:rsid w:val="00856367"/>
    <w:rsid w:val="008567FE"/>
    <w:rsid w:val="008568E3"/>
    <w:rsid w:val="00856A52"/>
    <w:rsid w:val="00860C95"/>
    <w:rsid w:val="00862EA3"/>
    <w:rsid w:val="00863C81"/>
    <w:rsid w:val="00864BBD"/>
    <w:rsid w:val="00865312"/>
    <w:rsid w:val="00865607"/>
    <w:rsid w:val="00866ED8"/>
    <w:rsid w:val="00867D0B"/>
    <w:rsid w:val="00870038"/>
    <w:rsid w:val="008703C9"/>
    <w:rsid w:val="0087094F"/>
    <w:rsid w:val="00871155"/>
    <w:rsid w:val="008729A3"/>
    <w:rsid w:val="00873063"/>
    <w:rsid w:val="0087501B"/>
    <w:rsid w:val="008768F7"/>
    <w:rsid w:val="00876F4E"/>
    <w:rsid w:val="0088055C"/>
    <w:rsid w:val="008807A2"/>
    <w:rsid w:val="0088169C"/>
    <w:rsid w:val="0088187A"/>
    <w:rsid w:val="008819A6"/>
    <w:rsid w:val="00881DEF"/>
    <w:rsid w:val="008836BD"/>
    <w:rsid w:val="0088390B"/>
    <w:rsid w:val="008850A9"/>
    <w:rsid w:val="0088658C"/>
    <w:rsid w:val="00886D95"/>
    <w:rsid w:val="00887E6C"/>
    <w:rsid w:val="00891BB8"/>
    <w:rsid w:val="00891BE3"/>
    <w:rsid w:val="00892A69"/>
    <w:rsid w:val="008933BE"/>
    <w:rsid w:val="008937A4"/>
    <w:rsid w:val="00894EFD"/>
    <w:rsid w:val="00897885"/>
    <w:rsid w:val="0089796E"/>
    <w:rsid w:val="008A0414"/>
    <w:rsid w:val="008A0C43"/>
    <w:rsid w:val="008A158F"/>
    <w:rsid w:val="008A2538"/>
    <w:rsid w:val="008A2E3A"/>
    <w:rsid w:val="008A3A3D"/>
    <w:rsid w:val="008A55EE"/>
    <w:rsid w:val="008A58C1"/>
    <w:rsid w:val="008A6FBF"/>
    <w:rsid w:val="008A791C"/>
    <w:rsid w:val="008B09AF"/>
    <w:rsid w:val="008B1084"/>
    <w:rsid w:val="008B14D7"/>
    <w:rsid w:val="008B2C09"/>
    <w:rsid w:val="008B3393"/>
    <w:rsid w:val="008B4CC8"/>
    <w:rsid w:val="008B4EFF"/>
    <w:rsid w:val="008B5A72"/>
    <w:rsid w:val="008B6037"/>
    <w:rsid w:val="008B63B6"/>
    <w:rsid w:val="008B65F3"/>
    <w:rsid w:val="008B7013"/>
    <w:rsid w:val="008B7B2B"/>
    <w:rsid w:val="008B7D54"/>
    <w:rsid w:val="008C05AE"/>
    <w:rsid w:val="008C14BC"/>
    <w:rsid w:val="008C30F4"/>
    <w:rsid w:val="008C33F9"/>
    <w:rsid w:val="008C5123"/>
    <w:rsid w:val="008C5CF7"/>
    <w:rsid w:val="008D01BC"/>
    <w:rsid w:val="008D0C0B"/>
    <w:rsid w:val="008D2EBC"/>
    <w:rsid w:val="008D32B8"/>
    <w:rsid w:val="008D4D60"/>
    <w:rsid w:val="008D5366"/>
    <w:rsid w:val="008D6422"/>
    <w:rsid w:val="008D6EFF"/>
    <w:rsid w:val="008D7913"/>
    <w:rsid w:val="008E02D5"/>
    <w:rsid w:val="008E1243"/>
    <w:rsid w:val="008E1D54"/>
    <w:rsid w:val="008E1E3F"/>
    <w:rsid w:val="008E25AF"/>
    <w:rsid w:val="008E2699"/>
    <w:rsid w:val="008E285C"/>
    <w:rsid w:val="008E2AD3"/>
    <w:rsid w:val="008E4823"/>
    <w:rsid w:val="008E65D6"/>
    <w:rsid w:val="008E6FFF"/>
    <w:rsid w:val="008E70C3"/>
    <w:rsid w:val="008E78DD"/>
    <w:rsid w:val="008E79E4"/>
    <w:rsid w:val="008F0152"/>
    <w:rsid w:val="008F045E"/>
    <w:rsid w:val="008F0A81"/>
    <w:rsid w:val="008F1214"/>
    <w:rsid w:val="008F172B"/>
    <w:rsid w:val="008F218C"/>
    <w:rsid w:val="008F22ED"/>
    <w:rsid w:val="008F2D0B"/>
    <w:rsid w:val="008F365F"/>
    <w:rsid w:val="008F3AC3"/>
    <w:rsid w:val="008F3BFA"/>
    <w:rsid w:val="008F4538"/>
    <w:rsid w:val="008F593A"/>
    <w:rsid w:val="008F5DFD"/>
    <w:rsid w:val="008F67FD"/>
    <w:rsid w:val="008F7114"/>
    <w:rsid w:val="00902D9C"/>
    <w:rsid w:val="00902F07"/>
    <w:rsid w:val="00903350"/>
    <w:rsid w:val="009036E7"/>
    <w:rsid w:val="009050C0"/>
    <w:rsid w:val="009052F1"/>
    <w:rsid w:val="00905FE6"/>
    <w:rsid w:val="009061B8"/>
    <w:rsid w:val="009062BB"/>
    <w:rsid w:val="00906875"/>
    <w:rsid w:val="0090763A"/>
    <w:rsid w:val="009107FB"/>
    <w:rsid w:val="00913BEE"/>
    <w:rsid w:val="00913FB3"/>
    <w:rsid w:val="009148A3"/>
    <w:rsid w:val="00914B22"/>
    <w:rsid w:val="00915FFC"/>
    <w:rsid w:val="00916705"/>
    <w:rsid w:val="0091724E"/>
    <w:rsid w:val="00917BF2"/>
    <w:rsid w:val="00921A6B"/>
    <w:rsid w:val="00922F73"/>
    <w:rsid w:val="009233DD"/>
    <w:rsid w:val="009234B4"/>
    <w:rsid w:val="009238C1"/>
    <w:rsid w:val="00924863"/>
    <w:rsid w:val="009249BE"/>
    <w:rsid w:val="00926B40"/>
    <w:rsid w:val="0092700E"/>
    <w:rsid w:val="0092792F"/>
    <w:rsid w:val="00930E76"/>
    <w:rsid w:val="00931383"/>
    <w:rsid w:val="00931455"/>
    <w:rsid w:val="0093182A"/>
    <w:rsid w:val="00931916"/>
    <w:rsid w:val="00931A9C"/>
    <w:rsid w:val="00932022"/>
    <w:rsid w:val="00932CF8"/>
    <w:rsid w:val="009345CB"/>
    <w:rsid w:val="0093475D"/>
    <w:rsid w:val="009357F9"/>
    <w:rsid w:val="009365F5"/>
    <w:rsid w:val="00936A97"/>
    <w:rsid w:val="0094229A"/>
    <w:rsid w:val="00943299"/>
    <w:rsid w:val="00944E77"/>
    <w:rsid w:val="00945BA6"/>
    <w:rsid w:val="0094609A"/>
    <w:rsid w:val="00947187"/>
    <w:rsid w:val="0094727E"/>
    <w:rsid w:val="00951C22"/>
    <w:rsid w:val="00951ECF"/>
    <w:rsid w:val="00952999"/>
    <w:rsid w:val="009558B6"/>
    <w:rsid w:val="00956577"/>
    <w:rsid w:val="00957833"/>
    <w:rsid w:val="00960756"/>
    <w:rsid w:val="00961EB6"/>
    <w:rsid w:val="0096223A"/>
    <w:rsid w:val="0096246E"/>
    <w:rsid w:val="00962C36"/>
    <w:rsid w:val="00964D8E"/>
    <w:rsid w:val="00965B90"/>
    <w:rsid w:val="0097135E"/>
    <w:rsid w:val="00971464"/>
    <w:rsid w:val="009714CC"/>
    <w:rsid w:val="009719CD"/>
    <w:rsid w:val="0097250C"/>
    <w:rsid w:val="00972F3F"/>
    <w:rsid w:val="00973CB4"/>
    <w:rsid w:val="00974EC7"/>
    <w:rsid w:val="00975058"/>
    <w:rsid w:val="00975188"/>
    <w:rsid w:val="00975CBC"/>
    <w:rsid w:val="00981D30"/>
    <w:rsid w:val="00982965"/>
    <w:rsid w:val="00982BB7"/>
    <w:rsid w:val="00983808"/>
    <w:rsid w:val="00985506"/>
    <w:rsid w:val="00985D64"/>
    <w:rsid w:val="00985FAE"/>
    <w:rsid w:val="00986930"/>
    <w:rsid w:val="00986CBE"/>
    <w:rsid w:val="00987508"/>
    <w:rsid w:val="00987B78"/>
    <w:rsid w:val="00990930"/>
    <w:rsid w:val="00991326"/>
    <w:rsid w:val="009913DA"/>
    <w:rsid w:val="00992856"/>
    <w:rsid w:val="00992CB9"/>
    <w:rsid w:val="00993B6F"/>
    <w:rsid w:val="0099491A"/>
    <w:rsid w:val="00995D88"/>
    <w:rsid w:val="0099610A"/>
    <w:rsid w:val="00997C48"/>
    <w:rsid w:val="00997CC4"/>
    <w:rsid w:val="009A1B48"/>
    <w:rsid w:val="009A1BC4"/>
    <w:rsid w:val="009A261B"/>
    <w:rsid w:val="009A2E9D"/>
    <w:rsid w:val="009A43C4"/>
    <w:rsid w:val="009A4D52"/>
    <w:rsid w:val="009A4D84"/>
    <w:rsid w:val="009A51B2"/>
    <w:rsid w:val="009A5365"/>
    <w:rsid w:val="009A5CB8"/>
    <w:rsid w:val="009A6DE6"/>
    <w:rsid w:val="009A75F7"/>
    <w:rsid w:val="009B082D"/>
    <w:rsid w:val="009B2C8D"/>
    <w:rsid w:val="009B3A65"/>
    <w:rsid w:val="009B428F"/>
    <w:rsid w:val="009B4609"/>
    <w:rsid w:val="009B5C5B"/>
    <w:rsid w:val="009B6C35"/>
    <w:rsid w:val="009B7732"/>
    <w:rsid w:val="009C02ED"/>
    <w:rsid w:val="009C0B4A"/>
    <w:rsid w:val="009C0D5B"/>
    <w:rsid w:val="009C4052"/>
    <w:rsid w:val="009C720D"/>
    <w:rsid w:val="009C7565"/>
    <w:rsid w:val="009C7888"/>
    <w:rsid w:val="009D136E"/>
    <w:rsid w:val="009D1D37"/>
    <w:rsid w:val="009D51CC"/>
    <w:rsid w:val="009D6258"/>
    <w:rsid w:val="009D6825"/>
    <w:rsid w:val="009E0113"/>
    <w:rsid w:val="009E08BB"/>
    <w:rsid w:val="009E0A31"/>
    <w:rsid w:val="009E1581"/>
    <w:rsid w:val="009E1705"/>
    <w:rsid w:val="009E1AC9"/>
    <w:rsid w:val="009E2E0F"/>
    <w:rsid w:val="009E3182"/>
    <w:rsid w:val="009E3B32"/>
    <w:rsid w:val="009E3D84"/>
    <w:rsid w:val="009E4306"/>
    <w:rsid w:val="009E4963"/>
    <w:rsid w:val="009E50D9"/>
    <w:rsid w:val="009E50F3"/>
    <w:rsid w:val="009E551A"/>
    <w:rsid w:val="009E5E34"/>
    <w:rsid w:val="009E7451"/>
    <w:rsid w:val="009E78F0"/>
    <w:rsid w:val="009E7B01"/>
    <w:rsid w:val="009E7F7A"/>
    <w:rsid w:val="009F05C1"/>
    <w:rsid w:val="009F1087"/>
    <w:rsid w:val="009F17B0"/>
    <w:rsid w:val="009F20CC"/>
    <w:rsid w:val="009F3067"/>
    <w:rsid w:val="009F3587"/>
    <w:rsid w:val="009F43B1"/>
    <w:rsid w:val="009F45DB"/>
    <w:rsid w:val="009F4871"/>
    <w:rsid w:val="009F54F7"/>
    <w:rsid w:val="009F58D7"/>
    <w:rsid w:val="009F663C"/>
    <w:rsid w:val="009F6BA7"/>
    <w:rsid w:val="009F73E4"/>
    <w:rsid w:val="00A00652"/>
    <w:rsid w:val="00A00A95"/>
    <w:rsid w:val="00A017FF"/>
    <w:rsid w:val="00A04370"/>
    <w:rsid w:val="00A04593"/>
    <w:rsid w:val="00A05F82"/>
    <w:rsid w:val="00A07789"/>
    <w:rsid w:val="00A07F0D"/>
    <w:rsid w:val="00A10687"/>
    <w:rsid w:val="00A13846"/>
    <w:rsid w:val="00A1535A"/>
    <w:rsid w:val="00A1591A"/>
    <w:rsid w:val="00A1632C"/>
    <w:rsid w:val="00A163B2"/>
    <w:rsid w:val="00A1698F"/>
    <w:rsid w:val="00A169A5"/>
    <w:rsid w:val="00A16AAC"/>
    <w:rsid w:val="00A16B37"/>
    <w:rsid w:val="00A16CE1"/>
    <w:rsid w:val="00A171E1"/>
    <w:rsid w:val="00A178A8"/>
    <w:rsid w:val="00A206DC"/>
    <w:rsid w:val="00A2105A"/>
    <w:rsid w:val="00A230C4"/>
    <w:rsid w:val="00A23B59"/>
    <w:rsid w:val="00A2432B"/>
    <w:rsid w:val="00A2436B"/>
    <w:rsid w:val="00A25ACB"/>
    <w:rsid w:val="00A266D5"/>
    <w:rsid w:val="00A275EB"/>
    <w:rsid w:val="00A27600"/>
    <w:rsid w:val="00A30131"/>
    <w:rsid w:val="00A31BE7"/>
    <w:rsid w:val="00A32D34"/>
    <w:rsid w:val="00A35971"/>
    <w:rsid w:val="00A36E97"/>
    <w:rsid w:val="00A37C91"/>
    <w:rsid w:val="00A37DC2"/>
    <w:rsid w:val="00A407A1"/>
    <w:rsid w:val="00A40CC4"/>
    <w:rsid w:val="00A40E46"/>
    <w:rsid w:val="00A40EBF"/>
    <w:rsid w:val="00A42D25"/>
    <w:rsid w:val="00A43387"/>
    <w:rsid w:val="00A43D5E"/>
    <w:rsid w:val="00A43DEB"/>
    <w:rsid w:val="00A44CC8"/>
    <w:rsid w:val="00A44EAB"/>
    <w:rsid w:val="00A455CE"/>
    <w:rsid w:val="00A461F8"/>
    <w:rsid w:val="00A464B2"/>
    <w:rsid w:val="00A46835"/>
    <w:rsid w:val="00A46AE5"/>
    <w:rsid w:val="00A46B7A"/>
    <w:rsid w:val="00A4756C"/>
    <w:rsid w:val="00A479E4"/>
    <w:rsid w:val="00A50FEE"/>
    <w:rsid w:val="00A515B6"/>
    <w:rsid w:val="00A51CF4"/>
    <w:rsid w:val="00A51D70"/>
    <w:rsid w:val="00A5331A"/>
    <w:rsid w:val="00A53793"/>
    <w:rsid w:val="00A54185"/>
    <w:rsid w:val="00A542BB"/>
    <w:rsid w:val="00A55262"/>
    <w:rsid w:val="00A55CF7"/>
    <w:rsid w:val="00A560EF"/>
    <w:rsid w:val="00A5671D"/>
    <w:rsid w:val="00A57370"/>
    <w:rsid w:val="00A57587"/>
    <w:rsid w:val="00A62DFA"/>
    <w:rsid w:val="00A653C7"/>
    <w:rsid w:val="00A6577A"/>
    <w:rsid w:val="00A65887"/>
    <w:rsid w:val="00A65E1C"/>
    <w:rsid w:val="00A66AF4"/>
    <w:rsid w:val="00A70279"/>
    <w:rsid w:val="00A70335"/>
    <w:rsid w:val="00A706FF"/>
    <w:rsid w:val="00A717E2"/>
    <w:rsid w:val="00A7452D"/>
    <w:rsid w:val="00A75F9B"/>
    <w:rsid w:val="00A7601F"/>
    <w:rsid w:val="00A76128"/>
    <w:rsid w:val="00A7736D"/>
    <w:rsid w:val="00A77371"/>
    <w:rsid w:val="00A805FC"/>
    <w:rsid w:val="00A8071B"/>
    <w:rsid w:val="00A81286"/>
    <w:rsid w:val="00A830E4"/>
    <w:rsid w:val="00A83E63"/>
    <w:rsid w:val="00A84AE5"/>
    <w:rsid w:val="00A85406"/>
    <w:rsid w:val="00A87096"/>
    <w:rsid w:val="00A872EC"/>
    <w:rsid w:val="00A90A19"/>
    <w:rsid w:val="00A91722"/>
    <w:rsid w:val="00A92123"/>
    <w:rsid w:val="00A9279D"/>
    <w:rsid w:val="00A929BD"/>
    <w:rsid w:val="00A93F45"/>
    <w:rsid w:val="00A9417A"/>
    <w:rsid w:val="00A94403"/>
    <w:rsid w:val="00A94550"/>
    <w:rsid w:val="00A95580"/>
    <w:rsid w:val="00A95F4C"/>
    <w:rsid w:val="00A9653D"/>
    <w:rsid w:val="00AA12F0"/>
    <w:rsid w:val="00AA1840"/>
    <w:rsid w:val="00AA2839"/>
    <w:rsid w:val="00AA2956"/>
    <w:rsid w:val="00AA3570"/>
    <w:rsid w:val="00AA3827"/>
    <w:rsid w:val="00AA4CD1"/>
    <w:rsid w:val="00AA4D33"/>
    <w:rsid w:val="00AA5661"/>
    <w:rsid w:val="00AB1EE4"/>
    <w:rsid w:val="00AB2201"/>
    <w:rsid w:val="00AB2E58"/>
    <w:rsid w:val="00AB2F20"/>
    <w:rsid w:val="00AB3AD2"/>
    <w:rsid w:val="00AB4AB0"/>
    <w:rsid w:val="00AB5003"/>
    <w:rsid w:val="00AB5D09"/>
    <w:rsid w:val="00AB6A36"/>
    <w:rsid w:val="00AC073F"/>
    <w:rsid w:val="00AC0771"/>
    <w:rsid w:val="00AC08AA"/>
    <w:rsid w:val="00AC0BA4"/>
    <w:rsid w:val="00AC0C9A"/>
    <w:rsid w:val="00AC0CAF"/>
    <w:rsid w:val="00AC166C"/>
    <w:rsid w:val="00AC2F86"/>
    <w:rsid w:val="00AC41D8"/>
    <w:rsid w:val="00AC4DB6"/>
    <w:rsid w:val="00AC5445"/>
    <w:rsid w:val="00AC5450"/>
    <w:rsid w:val="00AC5CA1"/>
    <w:rsid w:val="00AC6286"/>
    <w:rsid w:val="00AC63F2"/>
    <w:rsid w:val="00AD0696"/>
    <w:rsid w:val="00AD06E4"/>
    <w:rsid w:val="00AD0A5C"/>
    <w:rsid w:val="00AD1BA2"/>
    <w:rsid w:val="00AD24EA"/>
    <w:rsid w:val="00AD2632"/>
    <w:rsid w:val="00AD34D2"/>
    <w:rsid w:val="00AD37BB"/>
    <w:rsid w:val="00AD3D2E"/>
    <w:rsid w:val="00AD5D3F"/>
    <w:rsid w:val="00AD6541"/>
    <w:rsid w:val="00AD7126"/>
    <w:rsid w:val="00AD796C"/>
    <w:rsid w:val="00AE0D3A"/>
    <w:rsid w:val="00AE1417"/>
    <w:rsid w:val="00AE14A0"/>
    <w:rsid w:val="00AE2B18"/>
    <w:rsid w:val="00AE2C72"/>
    <w:rsid w:val="00AE40C5"/>
    <w:rsid w:val="00AE6047"/>
    <w:rsid w:val="00AE6BCB"/>
    <w:rsid w:val="00AE73D7"/>
    <w:rsid w:val="00AE7E5B"/>
    <w:rsid w:val="00AF1831"/>
    <w:rsid w:val="00AF4D3A"/>
    <w:rsid w:val="00AF56F2"/>
    <w:rsid w:val="00AF62D4"/>
    <w:rsid w:val="00AF6555"/>
    <w:rsid w:val="00AF7039"/>
    <w:rsid w:val="00B01675"/>
    <w:rsid w:val="00B030E8"/>
    <w:rsid w:val="00B038A5"/>
    <w:rsid w:val="00B04448"/>
    <w:rsid w:val="00B04893"/>
    <w:rsid w:val="00B05C72"/>
    <w:rsid w:val="00B06AF3"/>
    <w:rsid w:val="00B06BFA"/>
    <w:rsid w:val="00B100A0"/>
    <w:rsid w:val="00B11514"/>
    <w:rsid w:val="00B11637"/>
    <w:rsid w:val="00B11C69"/>
    <w:rsid w:val="00B124C1"/>
    <w:rsid w:val="00B12CA9"/>
    <w:rsid w:val="00B14771"/>
    <w:rsid w:val="00B164E2"/>
    <w:rsid w:val="00B16755"/>
    <w:rsid w:val="00B22C66"/>
    <w:rsid w:val="00B231B0"/>
    <w:rsid w:val="00B2447A"/>
    <w:rsid w:val="00B24F3C"/>
    <w:rsid w:val="00B251B5"/>
    <w:rsid w:val="00B25B77"/>
    <w:rsid w:val="00B25E7B"/>
    <w:rsid w:val="00B27D9D"/>
    <w:rsid w:val="00B31237"/>
    <w:rsid w:val="00B32B5D"/>
    <w:rsid w:val="00B3368B"/>
    <w:rsid w:val="00B343FB"/>
    <w:rsid w:val="00B34A56"/>
    <w:rsid w:val="00B35A8D"/>
    <w:rsid w:val="00B364FB"/>
    <w:rsid w:val="00B36525"/>
    <w:rsid w:val="00B36809"/>
    <w:rsid w:val="00B40B9B"/>
    <w:rsid w:val="00B41D27"/>
    <w:rsid w:val="00B42257"/>
    <w:rsid w:val="00B426F0"/>
    <w:rsid w:val="00B44A3A"/>
    <w:rsid w:val="00B450BD"/>
    <w:rsid w:val="00B4514F"/>
    <w:rsid w:val="00B45A04"/>
    <w:rsid w:val="00B45C09"/>
    <w:rsid w:val="00B4628A"/>
    <w:rsid w:val="00B46D72"/>
    <w:rsid w:val="00B472AD"/>
    <w:rsid w:val="00B4742C"/>
    <w:rsid w:val="00B502A0"/>
    <w:rsid w:val="00B506DD"/>
    <w:rsid w:val="00B50851"/>
    <w:rsid w:val="00B50F7E"/>
    <w:rsid w:val="00B52E61"/>
    <w:rsid w:val="00B55856"/>
    <w:rsid w:val="00B5605B"/>
    <w:rsid w:val="00B5771A"/>
    <w:rsid w:val="00B57AA6"/>
    <w:rsid w:val="00B57EDD"/>
    <w:rsid w:val="00B60CDC"/>
    <w:rsid w:val="00B63327"/>
    <w:rsid w:val="00B63337"/>
    <w:rsid w:val="00B63678"/>
    <w:rsid w:val="00B63965"/>
    <w:rsid w:val="00B63A4C"/>
    <w:rsid w:val="00B6519A"/>
    <w:rsid w:val="00B65D44"/>
    <w:rsid w:val="00B677B5"/>
    <w:rsid w:val="00B67A99"/>
    <w:rsid w:val="00B70B41"/>
    <w:rsid w:val="00B71235"/>
    <w:rsid w:val="00B73B0D"/>
    <w:rsid w:val="00B75B2E"/>
    <w:rsid w:val="00B75CBA"/>
    <w:rsid w:val="00B760BA"/>
    <w:rsid w:val="00B76C3D"/>
    <w:rsid w:val="00B76CD3"/>
    <w:rsid w:val="00B77029"/>
    <w:rsid w:val="00B805C1"/>
    <w:rsid w:val="00B8275F"/>
    <w:rsid w:val="00B82E69"/>
    <w:rsid w:val="00B84D9C"/>
    <w:rsid w:val="00B86694"/>
    <w:rsid w:val="00B900FB"/>
    <w:rsid w:val="00B91BF7"/>
    <w:rsid w:val="00B91FE6"/>
    <w:rsid w:val="00B92508"/>
    <w:rsid w:val="00B92F7A"/>
    <w:rsid w:val="00B956F7"/>
    <w:rsid w:val="00B9684F"/>
    <w:rsid w:val="00B96B8F"/>
    <w:rsid w:val="00B979D4"/>
    <w:rsid w:val="00B97C67"/>
    <w:rsid w:val="00B97E5E"/>
    <w:rsid w:val="00BA2532"/>
    <w:rsid w:val="00BA27FC"/>
    <w:rsid w:val="00BA321A"/>
    <w:rsid w:val="00BA367D"/>
    <w:rsid w:val="00BA3FB9"/>
    <w:rsid w:val="00BA526C"/>
    <w:rsid w:val="00BA5A4E"/>
    <w:rsid w:val="00BA6DE7"/>
    <w:rsid w:val="00BB013A"/>
    <w:rsid w:val="00BB0AA8"/>
    <w:rsid w:val="00BB19F3"/>
    <w:rsid w:val="00BB1EF4"/>
    <w:rsid w:val="00BB25ED"/>
    <w:rsid w:val="00BB3EA1"/>
    <w:rsid w:val="00BB4F92"/>
    <w:rsid w:val="00BB57C7"/>
    <w:rsid w:val="00BB5B59"/>
    <w:rsid w:val="00BB6CED"/>
    <w:rsid w:val="00BB72FB"/>
    <w:rsid w:val="00BB7D0B"/>
    <w:rsid w:val="00BC0591"/>
    <w:rsid w:val="00BC2E7D"/>
    <w:rsid w:val="00BC2F4B"/>
    <w:rsid w:val="00BC4546"/>
    <w:rsid w:val="00BC5333"/>
    <w:rsid w:val="00BC73F5"/>
    <w:rsid w:val="00BC7693"/>
    <w:rsid w:val="00BC7883"/>
    <w:rsid w:val="00BD05EC"/>
    <w:rsid w:val="00BD0ACF"/>
    <w:rsid w:val="00BD0B51"/>
    <w:rsid w:val="00BD0FBD"/>
    <w:rsid w:val="00BD34A0"/>
    <w:rsid w:val="00BD3513"/>
    <w:rsid w:val="00BD4065"/>
    <w:rsid w:val="00BD4335"/>
    <w:rsid w:val="00BD4E9B"/>
    <w:rsid w:val="00BD5B3C"/>
    <w:rsid w:val="00BD6AED"/>
    <w:rsid w:val="00BD7066"/>
    <w:rsid w:val="00BD7346"/>
    <w:rsid w:val="00BD7B8D"/>
    <w:rsid w:val="00BE06FB"/>
    <w:rsid w:val="00BE082D"/>
    <w:rsid w:val="00BE0BC3"/>
    <w:rsid w:val="00BE0C63"/>
    <w:rsid w:val="00BE1601"/>
    <w:rsid w:val="00BE30E8"/>
    <w:rsid w:val="00BE337A"/>
    <w:rsid w:val="00BE451A"/>
    <w:rsid w:val="00BE5232"/>
    <w:rsid w:val="00BE55DC"/>
    <w:rsid w:val="00BE566B"/>
    <w:rsid w:val="00BE771D"/>
    <w:rsid w:val="00BF0BDB"/>
    <w:rsid w:val="00BF15D9"/>
    <w:rsid w:val="00BF33F7"/>
    <w:rsid w:val="00BF3446"/>
    <w:rsid w:val="00BF4117"/>
    <w:rsid w:val="00BF48C5"/>
    <w:rsid w:val="00BF6D1F"/>
    <w:rsid w:val="00BF74D4"/>
    <w:rsid w:val="00BF74FA"/>
    <w:rsid w:val="00BF7917"/>
    <w:rsid w:val="00BF79BF"/>
    <w:rsid w:val="00C012EC"/>
    <w:rsid w:val="00C0299F"/>
    <w:rsid w:val="00C034E6"/>
    <w:rsid w:val="00C0404A"/>
    <w:rsid w:val="00C04A65"/>
    <w:rsid w:val="00C055D6"/>
    <w:rsid w:val="00C07B73"/>
    <w:rsid w:val="00C1014A"/>
    <w:rsid w:val="00C1071E"/>
    <w:rsid w:val="00C10942"/>
    <w:rsid w:val="00C11811"/>
    <w:rsid w:val="00C1209D"/>
    <w:rsid w:val="00C1239F"/>
    <w:rsid w:val="00C13870"/>
    <w:rsid w:val="00C13D89"/>
    <w:rsid w:val="00C162E9"/>
    <w:rsid w:val="00C16EDD"/>
    <w:rsid w:val="00C17871"/>
    <w:rsid w:val="00C17C41"/>
    <w:rsid w:val="00C24800"/>
    <w:rsid w:val="00C26B0A"/>
    <w:rsid w:val="00C26EA3"/>
    <w:rsid w:val="00C27142"/>
    <w:rsid w:val="00C301EC"/>
    <w:rsid w:val="00C305D6"/>
    <w:rsid w:val="00C30F9A"/>
    <w:rsid w:val="00C3171D"/>
    <w:rsid w:val="00C32123"/>
    <w:rsid w:val="00C32174"/>
    <w:rsid w:val="00C32402"/>
    <w:rsid w:val="00C32489"/>
    <w:rsid w:val="00C328CC"/>
    <w:rsid w:val="00C32F61"/>
    <w:rsid w:val="00C33632"/>
    <w:rsid w:val="00C34395"/>
    <w:rsid w:val="00C34BBD"/>
    <w:rsid w:val="00C34F50"/>
    <w:rsid w:val="00C35C08"/>
    <w:rsid w:val="00C36A92"/>
    <w:rsid w:val="00C41417"/>
    <w:rsid w:val="00C423E9"/>
    <w:rsid w:val="00C4349A"/>
    <w:rsid w:val="00C43C28"/>
    <w:rsid w:val="00C44497"/>
    <w:rsid w:val="00C44A90"/>
    <w:rsid w:val="00C4501B"/>
    <w:rsid w:val="00C4562C"/>
    <w:rsid w:val="00C45C8B"/>
    <w:rsid w:val="00C46A25"/>
    <w:rsid w:val="00C470A5"/>
    <w:rsid w:val="00C50972"/>
    <w:rsid w:val="00C512BE"/>
    <w:rsid w:val="00C541D0"/>
    <w:rsid w:val="00C55579"/>
    <w:rsid w:val="00C55879"/>
    <w:rsid w:val="00C561DC"/>
    <w:rsid w:val="00C57084"/>
    <w:rsid w:val="00C57479"/>
    <w:rsid w:val="00C5786E"/>
    <w:rsid w:val="00C57F75"/>
    <w:rsid w:val="00C60906"/>
    <w:rsid w:val="00C617C5"/>
    <w:rsid w:val="00C61C3A"/>
    <w:rsid w:val="00C62FE7"/>
    <w:rsid w:val="00C64F74"/>
    <w:rsid w:val="00C65AF9"/>
    <w:rsid w:val="00C67061"/>
    <w:rsid w:val="00C7047F"/>
    <w:rsid w:val="00C70566"/>
    <w:rsid w:val="00C7184D"/>
    <w:rsid w:val="00C71FE1"/>
    <w:rsid w:val="00C736D8"/>
    <w:rsid w:val="00C73969"/>
    <w:rsid w:val="00C73AD4"/>
    <w:rsid w:val="00C7642D"/>
    <w:rsid w:val="00C77A48"/>
    <w:rsid w:val="00C77F5A"/>
    <w:rsid w:val="00C807B0"/>
    <w:rsid w:val="00C818CB"/>
    <w:rsid w:val="00C85F98"/>
    <w:rsid w:val="00C86277"/>
    <w:rsid w:val="00C86CDE"/>
    <w:rsid w:val="00C90F98"/>
    <w:rsid w:val="00C929B0"/>
    <w:rsid w:val="00C92D2F"/>
    <w:rsid w:val="00C93C7F"/>
    <w:rsid w:val="00C94636"/>
    <w:rsid w:val="00C95081"/>
    <w:rsid w:val="00C95117"/>
    <w:rsid w:val="00C952B2"/>
    <w:rsid w:val="00C96273"/>
    <w:rsid w:val="00C97020"/>
    <w:rsid w:val="00CA2559"/>
    <w:rsid w:val="00CA28A6"/>
    <w:rsid w:val="00CA3711"/>
    <w:rsid w:val="00CA61CF"/>
    <w:rsid w:val="00CA629E"/>
    <w:rsid w:val="00CA7916"/>
    <w:rsid w:val="00CA7FA5"/>
    <w:rsid w:val="00CB0AF3"/>
    <w:rsid w:val="00CB1B8F"/>
    <w:rsid w:val="00CB366C"/>
    <w:rsid w:val="00CB3CFF"/>
    <w:rsid w:val="00CB420E"/>
    <w:rsid w:val="00CB448E"/>
    <w:rsid w:val="00CB5296"/>
    <w:rsid w:val="00CB7979"/>
    <w:rsid w:val="00CB7D94"/>
    <w:rsid w:val="00CB7FD8"/>
    <w:rsid w:val="00CC000A"/>
    <w:rsid w:val="00CC00BC"/>
    <w:rsid w:val="00CC0325"/>
    <w:rsid w:val="00CC0786"/>
    <w:rsid w:val="00CC0E82"/>
    <w:rsid w:val="00CC12CE"/>
    <w:rsid w:val="00CC167C"/>
    <w:rsid w:val="00CC23A5"/>
    <w:rsid w:val="00CC2ABB"/>
    <w:rsid w:val="00CC2C37"/>
    <w:rsid w:val="00CC43E2"/>
    <w:rsid w:val="00CC47B1"/>
    <w:rsid w:val="00CC4BF6"/>
    <w:rsid w:val="00CC5544"/>
    <w:rsid w:val="00CC5E73"/>
    <w:rsid w:val="00CC64DF"/>
    <w:rsid w:val="00CC6953"/>
    <w:rsid w:val="00CC6DE0"/>
    <w:rsid w:val="00CD00EE"/>
    <w:rsid w:val="00CD053B"/>
    <w:rsid w:val="00CD1DF5"/>
    <w:rsid w:val="00CD20D0"/>
    <w:rsid w:val="00CD256E"/>
    <w:rsid w:val="00CD403A"/>
    <w:rsid w:val="00CD4780"/>
    <w:rsid w:val="00CD4F0B"/>
    <w:rsid w:val="00CD5AE2"/>
    <w:rsid w:val="00CD78FD"/>
    <w:rsid w:val="00CD7B6F"/>
    <w:rsid w:val="00CD7EA9"/>
    <w:rsid w:val="00CE012A"/>
    <w:rsid w:val="00CE19FF"/>
    <w:rsid w:val="00CE2A04"/>
    <w:rsid w:val="00CE2E72"/>
    <w:rsid w:val="00CE2ECA"/>
    <w:rsid w:val="00CE3DC3"/>
    <w:rsid w:val="00CE3F7D"/>
    <w:rsid w:val="00CE425D"/>
    <w:rsid w:val="00CE46EA"/>
    <w:rsid w:val="00CE480D"/>
    <w:rsid w:val="00CE57DD"/>
    <w:rsid w:val="00CE7591"/>
    <w:rsid w:val="00CE7B63"/>
    <w:rsid w:val="00CE7C7E"/>
    <w:rsid w:val="00CF06DE"/>
    <w:rsid w:val="00CF08C3"/>
    <w:rsid w:val="00CF08F3"/>
    <w:rsid w:val="00CF0A22"/>
    <w:rsid w:val="00CF1750"/>
    <w:rsid w:val="00CF1CDE"/>
    <w:rsid w:val="00CF242F"/>
    <w:rsid w:val="00CF2CE2"/>
    <w:rsid w:val="00CF3089"/>
    <w:rsid w:val="00CF3202"/>
    <w:rsid w:val="00CF40AB"/>
    <w:rsid w:val="00CF7003"/>
    <w:rsid w:val="00CF77D8"/>
    <w:rsid w:val="00CF7B7C"/>
    <w:rsid w:val="00D00489"/>
    <w:rsid w:val="00D00530"/>
    <w:rsid w:val="00D0092C"/>
    <w:rsid w:val="00D021A4"/>
    <w:rsid w:val="00D0260F"/>
    <w:rsid w:val="00D042FE"/>
    <w:rsid w:val="00D04FA3"/>
    <w:rsid w:val="00D05161"/>
    <w:rsid w:val="00D05D14"/>
    <w:rsid w:val="00D06149"/>
    <w:rsid w:val="00D07468"/>
    <w:rsid w:val="00D1053E"/>
    <w:rsid w:val="00D1084A"/>
    <w:rsid w:val="00D10A35"/>
    <w:rsid w:val="00D10A8C"/>
    <w:rsid w:val="00D114E6"/>
    <w:rsid w:val="00D11913"/>
    <w:rsid w:val="00D12298"/>
    <w:rsid w:val="00D12E26"/>
    <w:rsid w:val="00D15006"/>
    <w:rsid w:val="00D15576"/>
    <w:rsid w:val="00D20026"/>
    <w:rsid w:val="00D20203"/>
    <w:rsid w:val="00D224D7"/>
    <w:rsid w:val="00D23113"/>
    <w:rsid w:val="00D2312F"/>
    <w:rsid w:val="00D233D0"/>
    <w:rsid w:val="00D236A8"/>
    <w:rsid w:val="00D23CA3"/>
    <w:rsid w:val="00D24164"/>
    <w:rsid w:val="00D243B4"/>
    <w:rsid w:val="00D27704"/>
    <w:rsid w:val="00D277AF"/>
    <w:rsid w:val="00D27E3F"/>
    <w:rsid w:val="00D30716"/>
    <w:rsid w:val="00D30757"/>
    <w:rsid w:val="00D31AF1"/>
    <w:rsid w:val="00D32868"/>
    <w:rsid w:val="00D329DD"/>
    <w:rsid w:val="00D32F5B"/>
    <w:rsid w:val="00D357BD"/>
    <w:rsid w:val="00D35CC9"/>
    <w:rsid w:val="00D360F5"/>
    <w:rsid w:val="00D36308"/>
    <w:rsid w:val="00D37716"/>
    <w:rsid w:val="00D404F0"/>
    <w:rsid w:val="00D40E8E"/>
    <w:rsid w:val="00D41BD0"/>
    <w:rsid w:val="00D4302B"/>
    <w:rsid w:val="00D43432"/>
    <w:rsid w:val="00D452C1"/>
    <w:rsid w:val="00D4592B"/>
    <w:rsid w:val="00D47271"/>
    <w:rsid w:val="00D50B29"/>
    <w:rsid w:val="00D50F80"/>
    <w:rsid w:val="00D519A8"/>
    <w:rsid w:val="00D51FA5"/>
    <w:rsid w:val="00D52950"/>
    <w:rsid w:val="00D56250"/>
    <w:rsid w:val="00D56C08"/>
    <w:rsid w:val="00D57BDD"/>
    <w:rsid w:val="00D60135"/>
    <w:rsid w:val="00D6077B"/>
    <w:rsid w:val="00D60960"/>
    <w:rsid w:val="00D60FCF"/>
    <w:rsid w:val="00D611BD"/>
    <w:rsid w:val="00D618DE"/>
    <w:rsid w:val="00D6249D"/>
    <w:rsid w:val="00D62F81"/>
    <w:rsid w:val="00D63244"/>
    <w:rsid w:val="00D6361A"/>
    <w:rsid w:val="00D6365E"/>
    <w:rsid w:val="00D64015"/>
    <w:rsid w:val="00D64378"/>
    <w:rsid w:val="00D657F3"/>
    <w:rsid w:val="00D663EF"/>
    <w:rsid w:val="00D66888"/>
    <w:rsid w:val="00D6757D"/>
    <w:rsid w:val="00D70832"/>
    <w:rsid w:val="00D747F2"/>
    <w:rsid w:val="00D751F3"/>
    <w:rsid w:val="00D7532D"/>
    <w:rsid w:val="00D75B90"/>
    <w:rsid w:val="00D765D3"/>
    <w:rsid w:val="00D77447"/>
    <w:rsid w:val="00D77D7A"/>
    <w:rsid w:val="00D815FB"/>
    <w:rsid w:val="00D82B6F"/>
    <w:rsid w:val="00D838D0"/>
    <w:rsid w:val="00D83AB4"/>
    <w:rsid w:val="00D83D02"/>
    <w:rsid w:val="00D83E97"/>
    <w:rsid w:val="00D85284"/>
    <w:rsid w:val="00D8607C"/>
    <w:rsid w:val="00D864FB"/>
    <w:rsid w:val="00D86576"/>
    <w:rsid w:val="00D87A81"/>
    <w:rsid w:val="00D911C5"/>
    <w:rsid w:val="00D91E3B"/>
    <w:rsid w:val="00D93048"/>
    <w:rsid w:val="00D93626"/>
    <w:rsid w:val="00D946E3"/>
    <w:rsid w:val="00D951B7"/>
    <w:rsid w:val="00D95840"/>
    <w:rsid w:val="00D95898"/>
    <w:rsid w:val="00D96DF4"/>
    <w:rsid w:val="00D97370"/>
    <w:rsid w:val="00D97573"/>
    <w:rsid w:val="00DA05E2"/>
    <w:rsid w:val="00DA09C7"/>
    <w:rsid w:val="00DA3A1C"/>
    <w:rsid w:val="00DA3CDE"/>
    <w:rsid w:val="00DA40A0"/>
    <w:rsid w:val="00DA4599"/>
    <w:rsid w:val="00DA4C8D"/>
    <w:rsid w:val="00DA5537"/>
    <w:rsid w:val="00DA6946"/>
    <w:rsid w:val="00DA765B"/>
    <w:rsid w:val="00DA7DB6"/>
    <w:rsid w:val="00DB057E"/>
    <w:rsid w:val="00DB46D2"/>
    <w:rsid w:val="00DB48C5"/>
    <w:rsid w:val="00DB4A7B"/>
    <w:rsid w:val="00DB6BDD"/>
    <w:rsid w:val="00DB6C8C"/>
    <w:rsid w:val="00DB70F8"/>
    <w:rsid w:val="00DB7A91"/>
    <w:rsid w:val="00DC0922"/>
    <w:rsid w:val="00DC0FA1"/>
    <w:rsid w:val="00DC1E15"/>
    <w:rsid w:val="00DC21FD"/>
    <w:rsid w:val="00DC3D4E"/>
    <w:rsid w:val="00DC4419"/>
    <w:rsid w:val="00DC521C"/>
    <w:rsid w:val="00DC585A"/>
    <w:rsid w:val="00DC5E41"/>
    <w:rsid w:val="00DC5FB5"/>
    <w:rsid w:val="00DC5FBB"/>
    <w:rsid w:val="00DC7AC5"/>
    <w:rsid w:val="00DC7F4C"/>
    <w:rsid w:val="00DD0362"/>
    <w:rsid w:val="00DD08E7"/>
    <w:rsid w:val="00DD163A"/>
    <w:rsid w:val="00DD168E"/>
    <w:rsid w:val="00DD2E6D"/>
    <w:rsid w:val="00DD389D"/>
    <w:rsid w:val="00DD435C"/>
    <w:rsid w:val="00DD4C2D"/>
    <w:rsid w:val="00DD5627"/>
    <w:rsid w:val="00DD5672"/>
    <w:rsid w:val="00DD59B6"/>
    <w:rsid w:val="00DD79DA"/>
    <w:rsid w:val="00DD7A3B"/>
    <w:rsid w:val="00DD7FE0"/>
    <w:rsid w:val="00DE026A"/>
    <w:rsid w:val="00DE078E"/>
    <w:rsid w:val="00DE11DE"/>
    <w:rsid w:val="00DE23C4"/>
    <w:rsid w:val="00DE3542"/>
    <w:rsid w:val="00DE3547"/>
    <w:rsid w:val="00DE47B0"/>
    <w:rsid w:val="00DE4FA8"/>
    <w:rsid w:val="00DE5CF9"/>
    <w:rsid w:val="00DE6495"/>
    <w:rsid w:val="00DE6919"/>
    <w:rsid w:val="00DE6A0B"/>
    <w:rsid w:val="00DE6D62"/>
    <w:rsid w:val="00DE6ECC"/>
    <w:rsid w:val="00DE74E5"/>
    <w:rsid w:val="00DF16A9"/>
    <w:rsid w:val="00DF2069"/>
    <w:rsid w:val="00DF2B84"/>
    <w:rsid w:val="00DF3618"/>
    <w:rsid w:val="00DF4937"/>
    <w:rsid w:val="00DF4B4F"/>
    <w:rsid w:val="00DF5A79"/>
    <w:rsid w:val="00DF5BD5"/>
    <w:rsid w:val="00DF6158"/>
    <w:rsid w:val="00DF7B9A"/>
    <w:rsid w:val="00E009EE"/>
    <w:rsid w:val="00E0102B"/>
    <w:rsid w:val="00E01077"/>
    <w:rsid w:val="00E01468"/>
    <w:rsid w:val="00E02AE8"/>
    <w:rsid w:val="00E02FF0"/>
    <w:rsid w:val="00E03181"/>
    <w:rsid w:val="00E03FB5"/>
    <w:rsid w:val="00E048A9"/>
    <w:rsid w:val="00E04D63"/>
    <w:rsid w:val="00E05229"/>
    <w:rsid w:val="00E06501"/>
    <w:rsid w:val="00E06520"/>
    <w:rsid w:val="00E102F7"/>
    <w:rsid w:val="00E11028"/>
    <w:rsid w:val="00E110B0"/>
    <w:rsid w:val="00E117FC"/>
    <w:rsid w:val="00E11D7C"/>
    <w:rsid w:val="00E1332A"/>
    <w:rsid w:val="00E13714"/>
    <w:rsid w:val="00E13BC7"/>
    <w:rsid w:val="00E14941"/>
    <w:rsid w:val="00E1568F"/>
    <w:rsid w:val="00E159FE"/>
    <w:rsid w:val="00E161AA"/>
    <w:rsid w:val="00E201B3"/>
    <w:rsid w:val="00E216A6"/>
    <w:rsid w:val="00E2267D"/>
    <w:rsid w:val="00E2325C"/>
    <w:rsid w:val="00E238AA"/>
    <w:rsid w:val="00E26323"/>
    <w:rsid w:val="00E26B9E"/>
    <w:rsid w:val="00E27F32"/>
    <w:rsid w:val="00E27F4B"/>
    <w:rsid w:val="00E30A18"/>
    <w:rsid w:val="00E312E6"/>
    <w:rsid w:val="00E33008"/>
    <w:rsid w:val="00E333DE"/>
    <w:rsid w:val="00E347BA"/>
    <w:rsid w:val="00E34FAC"/>
    <w:rsid w:val="00E36A6C"/>
    <w:rsid w:val="00E370AE"/>
    <w:rsid w:val="00E4169D"/>
    <w:rsid w:val="00E431D8"/>
    <w:rsid w:val="00E43EA6"/>
    <w:rsid w:val="00E4482E"/>
    <w:rsid w:val="00E449B6"/>
    <w:rsid w:val="00E462B4"/>
    <w:rsid w:val="00E47B3A"/>
    <w:rsid w:val="00E502C4"/>
    <w:rsid w:val="00E51D0B"/>
    <w:rsid w:val="00E5238A"/>
    <w:rsid w:val="00E5302E"/>
    <w:rsid w:val="00E53520"/>
    <w:rsid w:val="00E53544"/>
    <w:rsid w:val="00E536A8"/>
    <w:rsid w:val="00E5395F"/>
    <w:rsid w:val="00E55829"/>
    <w:rsid w:val="00E56684"/>
    <w:rsid w:val="00E5750D"/>
    <w:rsid w:val="00E61F75"/>
    <w:rsid w:val="00E623AE"/>
    <w:rsid w:val="00E627E6"/>
    <w:rsid w:val="00E63F18"/>
    <w:rsid w:val="00E64516"/>
    <w:rsid w:val="00E65A66"/>
    <w:rsid w:val="00E6663C"/>
    <w:rsid w:val="00E66E62"/>
    <w:rsid w:val="00E679E5"/>
    <w:rsid w:val="00E70FED"/>
    <w:rsid w:val="00E73091"/>
    <w:rsid w:val="00E73290"/>
    <w:rsid w:val="00E74D99"/>
    <w:rsid w:val="00E751A9"/>
    <w:rsid w:val="00E757E2"/>
    <w:rsid w:val="00E761BF"/>
    <w:rsid w:val="00E763DF"/>
    <w:rsid w:val="00E82539"/>
    <w:rsid w:val="00E82A95"/>
    <w:rsid w:val="00E82B05"/>
    <w:rsid w:val="00E82D52"/>
    <w:rsid w:val="00E83467"/>
    <w:rsid w:val="00E83869"/>
    <w:rsid w:val="00E83871"/>
    <w:rsid w:val="00E83ADD"/>
    <w:rsid w:val="00E83EB4"/>
    <w:rsid w:val="00E84CEE"/>
    <w:rsid w:val="00E85167"/>
    <w:rsid w:val="00E85819"/>
    <w:rsid w:val="00E85B20"/>
    <w:rsid w:val="00E860F0"/>
    <w:rsid w:val="00E8679E"/>
    <w:rsid w:val="00E86F2E"/>
    <w:rsid w:val="00E87A26"/>
    <w:rsid w:val="00E92711"/>
    <w:rsid w:val="00E938A0"/>
    <w:rsid w:val="00E96D5C"/>
    <w:rsid w:val="00E976CA"/>
    <w:rsid w:val="00E9779D"/>
    <w:rsid w:val="00EA2577"/>
    <w:rsid w:val="00EA27EE"/>
    <w:rsid w:val="00EA3E90"/>
    <w:rsid w:val="00EA4309"/>
    <w:rsid w:val="00EA445F"/>
    <w:rsid w:val="00EA45D4"/>
    <w:rsid w:val="00EA5082"/>
    <w:rsid w:val="00EA5776"/>
    <w:rsid w:val="00EA57D2"/>
    <w:rsid w:val="00EA6D49"/>
    <w:rsid w:val="00EA6FD5"/>
    <w:rsid w:val="00EA75D7"/>
    <w:rsid w:val="00EB02FC"/>
    <w:rsid w:val="00EB067B"/>
    <w:rsid w:val="00EB08D6"/>
    <w:rsid w:val="00EB120E"/>
    <w:rsid w:val="00EB15EB"/>
    <w:rsid w:val="00EB1CC6"/>
    <w:rsid w:val="00EB3815"/>
    <w:rsid w:val="00EB403F"/>
    <w:rsid w:val="00EB473D"/>
    <w:rsid w:val="00EB540D"/>
    <w:rsid w:val="00EB775B"/>
    <w:rsid w:val="00EC039C"/>
    <w:rsid w:val="00EC138F"/>
    <w:rsid w:val="00EC1BAD"/>
    <w:rsid w:val="00EC549D"/>
    <w:rsid w:val="00EC590E"/>
    <w:rsid w:val="00EC7B60"/>
    <w:rsid w:val="00EC7E04"/>
    <w:rsid w:val="00ED2125"/>
    <w:rsid w:val="00ED21EC"/>
    <w:rsid w:val="00ED4498"/>
    <w:rsid w:val="00ED46D6"/>
    <w:rsid w:val="00ED5723"/>
    <w:rsid w:val="00ED5BDA"/>
    <w:rsid w:val="00ED6146"/>
    <w:rsid w:val="00ED742E"/>
    <w:rsid w:val="00ED7E29"/>
    <w:rsid w:val="00EE1A87"/>
    <w:rsid w:val="00EE1BF2"/>
    <w:rsid w:val="00EE2806"/>
    <w:rsid w:val="00EE2855"/>
    <w:rsid w:val="00EE2E06"/>
    <w:rsid w:val="00EE41F9"/>
    <w:rsid w:val="00EE44F8"/>
    <w:rsid w:val="00EE52A2"/>
    <w:rsid w:val="00EE5606"/>
    <w:rsid w:val="00EE5DBB"/>
    <w:rsid w:val="00EE6516"/>
    <w:rsid w:val="00EE676C"/>
    <w:rsid w:val="00EE699E"/>
    <w:rsid w:val="00EE74FC"/>
    <w:rsid w:val="00EE7814"/>
    <w:rsid w:val="00EE7882"/>
    <w:rsid w:val="00EF0558"/>
    <w:rsid w:val="00EF0929"/>
    <w:rsid w:val="00EF09B4"/>
    <w:rsid w:val="00EF0D00"/>
    <w:rsid w:val="00EF1B7D"/>
    <w:rsid w:val="00EF243B"/>
    <w:rsid w:val="00EF27CB"/>
    <w:rsid w:val="00EF4444"/>
    <w:rsid w:val="00EF44D4"/>
    <w:rsid w:val="00EF4942"/>
    <w:rsid w:val="00EF553A"/>
    <w:rsid w:val="00EF6638"/>
    <w:rsid w:val="00EF7EF4"/>
    <w:rsid w:val="00F00592"/>
    <w:rsid w:val="00F006FC"/>
    <w:rsid w:val="00F0107D"/>
    <w:rsid w:val="00F02210"/>
    <w:rsid w:val="00F03AAB"/>
    <w:rsid w:val="00F04869"/>
    <w:rsid w:val="00F058A1"/>
    <w:rsid w:val="00F05B29"/>
    <w:rsid w:val="00F05BC0"/>
    <w:rsid w:val="00F0609F"/>
    <w:rsid w:val="00F062B1"/>
    <w:rsid w:val="00F06F25"/>
    <w:rsid w:val="00F108B3"/>
    <w:rsid w:val="00F11138"/>
    <w:rsid w:val="00F1293B"/>
    <w:rsid w:val="00F143E1"/>
    <w:rsid w:val="00F1507E"/>
    <w:rsid w:val="00F154EE"/>
    <w:rsid w:val="00F159B8"/>
    <w:rsid w:val="00F15F33"/>
    <w:rsid w:val="00F17ECA"/>
    <w:rsid w:val="00F20146"/>
    <w:rsid w:val="00F202AB"/>
    <w:rsid w:val="00F20AC6"/>
    <w:rsid w:val="00F22FBC"/>
    <w:rsid w:val="00F233BA"/>
    <w:rsid w:val="00F23E51"/>
    <w:rsid w:val="00F249B4"/>
    <w:rsid w:val="00F258D6"/>
    <w:rsid w:val="00F25DCF"/>
    <w:rsid w:val="00F278A8"/>
    <w:rsid w:val="00F30512"/>
    <w:rsid w:val="00F30772"/>
    <w:rsid w:val="00F32392"/>
    <w:rsid w:val="00F33BB2"/>
    <w:rsid w:val="00F34BDB"/>
    <w:rsid w:val="00F34EB8"/>
    <w:rsid w:val="00F3523D"/>
    <w:rsid w:val="00F35A5A"/>
    <w:rsid w:val="00F363DB"/>
    <w:rsid w:val="00F36A06"/>
    <w:rsid w:val="00F37288"/>
    <w:rsid w:val="00F40249"/>
    <w:rsid w:val="00F41171"/>
    <w:rsid w:val="00F41549"/>
    <w:rsid w:val="00F41699"/>
    <w:rsid w:val="00F428F0"/>
    <w:rsid w:val="00F42ED8"/>
    <w:rsid w:val="00F43B8E"/>
    <w:rsid w:val="00F43E2F"/>
    <w:rsid w:val="00F44744"/>
    <w:rsid w:val="00F46D8E"/>
    <w:rsid w:val="00F46DF2"/>
    <w:rsid w:val="00F47DAD"/>
    <w:rsid w:val="00F50E89"/>
    <w:rsid w:val="00F50F49"/>
    <w:rsid w:val="00F51CF3"/>
    <w:rsid w:val="00F525D5"/>
    <w:rsid w:val="00F53AC6"/>
    <w:rsid w:val="00F57733"/>
    <w:rsid w:val="00F57D4E"/>
    <w:rsid w:val="00F600E3"/>
    <w:rsid w:val="00F6054B"/>
    <w:rsid w:val="00F60765"/>
    <w:rsid w:val="00F60DA2"/>
    <w:rsid w:val="00F62DEF"/>
    <w:rsid w:val="00F63736"/>
    <w:rsid w:val="00F65529"/>
    <w:rsid w:val="00F66D09"/>
    <w:rsid w:val="00F67739"/>
    <w:rsid w:val="00F67DE6"/>
    <w:rsid w:val="00F70D67"/>
    <w:rsid w:val="00F717F2"/>
    <w:rsid w:val="00F72DF1"/>
    <w:rsid w:val="00F72F43"/>
    <w:rsid w:val="00F735DE"/>
    <w:rsid w:val="00F7402D"/>
    <w:rsid w:val="00F748AD"/>
    <w:rsid w:val="00F75819"/>
    <w:rsid w:val="00F75DF4"/>
    <w:rsid w:val="00F77D93"/>
    <w:rsid w:val="00F77F2D"/>
    <w:rsid w:val="00F8058B"/>
    <w:rsid w:val="00F824D5"/>
    <w:rsid w:val="00F834F3"/>
    <w:rsid w:val="00F83B2F"/>
    <w:rsid w:val="00F8489D"/>
    <w:rsid w:val="00F84CAA"/>
    <w:rsid w:val="00F86A43"/>
    <w:rsid w:val="00F86D18"/>
    <w:rsid w:val="00F875BA"/>
    <w:rsid w:val="00F9038B"/>
    <w:rsid w:val="00F907AF"/>
    <w:rsid w:val="00F90F64"/>
    <w:rsid w:val="00F91EAF"/>
    <w:rsid w:val="00F91F8A"/>
    <w:rsid w:val="00F931C9"/>
    <w:rsid w:val="00F93924"/>
    <w:rsid w:val="00F94457"/>
    <w:rsid w:val="00F94D58"/>
    <w:rsid w:val="00F94F6C"/>
    <w:rsid w:val="00F9611B"/>
    <w:rsid w:val="00F96970"/>
    <w:rsid w:val="00F96C47"/>
    <w:rsid w:val="00F96C84"/>
    <w:rsid w:val="00F97342"/>
    <w:rsid w:val="00FA186B"/>
    <w:rsid w:val="00FA26AD"/>
    <w:rsid w:val="00FA2EF4"/>
    <w:rsid w:val="00FA3245"/>
    <w:rsid w:val="00FA5513"/>
    <w:rsid w:val="00FA5919"/>
    <w:rsid w:val="00FA5941"/>
    <w:rsid w:val="00FA5ABA"/>
    <w:rsid w:val="00FA63E9"/>
    <w:rsid w:val="00FA640E"/>
    <w:rsid w:val="00FA7B95"/>
    <w:rsid w:val="00FA7F7C"/>
    <w:rsid w:val="00FB0A53"/>
    <w:rsid w:val="00FB1660"/>
    <w:rsid w:val="00FB2951"/>
    <w:rsid w:val="00FB2A7F"/>
    <w:rsid w:val="00FB2AAF"/>
    <w:rsid w:val="00FB3A72"/>
    <w:rsid w:val="00FB5671"/>
    <w:rsid w:val="00FC116E"/>
    <w:rsid w:val="00FC1F14"/>
    <w:rsid w:val="00FC29B3"/>
    <w:rsid w:val="00FC2CF3"/>
    <w:rsid w:val="00FC3465"/>
    <w:rsid w:val="00FC3701"/>
    <w:rsid w:val="00FC3F63"/>
    <w:rsid w:val="00FC4352"/>
    <w:rsid w:val="00FC46E2"/>
    <w:rsid w:val="00FC4F42"/>
    <w:rsid w:val="00FC5E17"/>
    <w:rsid w:val="00FC7194"/>
    <w:rsid w:val="00FC7694"/>
    <w:rsid w:val="00FC7912"/>
    <w:rsid w:val="00FD02F8"/>
    <w:rsid w:val="00FD21DB"/>
    <w:rsid w:val="00FD258B"/>
    <w:rsid w:val="00FD29CD"/>
    <w:rsid w:val="00FD4F9C"/>
    <w:rsid w:val="00FD5247"/>
    <w:rsid w:val="00FD5B44"/>
    <w:rsid w:val="00FD6461"/>
    <w:rsid w:val="00FD6842"/>
    <w:rsid w:val="00FD6BE8"/>
    <w:rsid w:val="00FD6CB4"/>
    <w:rsid w:val="00FD6D21"/>
    <w:rsid w:val="00FD7002"/>
    <w:rsid w:val="00FD7D1D"/>
    <w:rsid w:val="00FE0176"/>
    <w:rsid w:val="00FE02AA"/>
    <w:rsid w:val="00FE0606"/>
    <w:rsid w:val="00FE0614"/>
    <w:rsid w:val="00FE0C63"/>
    <w:rsid w:val="00FE1A51"/>
    <w:rsid w:val="00FE2245"/>
    <w:rsid w:val="00FE2BC1"/>
    <w:rsid w:val="00FE2C5D"/>
    <w:rsid w:val="00FE2CE0"/>
    <w:rsid w:val="00FE3454"/>
    <w:rsid w:val="00FE514F"/>
    <w:rsid w:val="00FE58AC"/>
    <w:rsid w:val="00FE74D2"/>
    <w:rsid w:val="00FF0254"/>
    <w:rsid w:val="00FF045F"/>
    <w:rsid w:val="00FF18E1"/>
    <w:rsid w:val="00FF2269"/>
    <w:rsid w:val="00FF2643"/>
    <w:rsid w:val="00FF27C1"/>
    <w:rsid w:val="00FF28C2"/>
    <w:rsid w:val="00FF339D"/>
    <w:rsid w:val="00FF4A9B"/>
    <w:rsid w:val="00FF4F1E"/>
    <w:rsid w:val="00FF4F97"/>
    <w:rsid w:val="00FF54E6"/>
    <w:rsid w:val="00FF5D45"/>
    <w:rsid w:val="00FF60A8"/>
    <w:rsid w:val="00FF6E28"/>
    <w:rsid w:val="00FF7CF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FBC"/>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D4FBC"/>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HeaderChar">
    <w:name w:val="Header Char"/>
    <w:basedOn w:val="DefaultParagraphFont"/>
    <w:link w:val="Header"/>
    <w:uiPriority w:val="99"/>
    <w:semiHidden/>
    <w:locked/>
    <w:rsid w:val="006D4FBC"/>
    <w:rPr>
      <w:rFonts w:cs="Times New Roman"/>
      <w:sz w:val="18"/>
      <w:szCs w:val="18"/>
    </w:rPr>
  </w:style>
  <w:style w:type="paragraph" w:styleId="Footer">
    <w:name w:val="footer"/>
    <w:basedOn w:val="Normal"/>
    <w:link w:val="FooterChar"/>
    <w:uiPriority w:val="99"/>
    <w:rsid w:val="006D4FBC"/>
    <w:pPr>
      <w:tabs>
        <w:tab w:val="center" w:pos="4153"/>
        <w:tab w:val="right" w:pos="8306"/>
      </w:tabs>
      <w:snapToGrid w:val="0"/>
      <w:jc w:val="left"/>
    </w:pPr>
    <w:rPr>
      <w:rFonts w:ascii="Calibri" w:hAnsi="Calibri"/>
      <w:sz w:val="18"/>
      <w:szCs w:val="18"/>
    </w:rPr>
  </w:style>
  <w:style w:type="character" w:customStyle="1" w:styleId="FooterChar">
    <w:name w:val="Footer Char"/>
    <w:basedOn w:val="DefaultParagraphFont"/>
    <w:link w:val="Footer"/>
    <w:uiPriority w:val="99"/>
    <w:locked/>
    <w:rsid w:val="006D4FBC"/>
    <w:rPr>
      <w:rFonts w:cs="Times New Roman"/>
      <w:sz w:val="18"/>
      <w:szCs w:val="18"/>
    </w:rPr>
  </w:style>
  <w:style w:type="paragraph" w:styleId="BodyTextIndent">
    <w:name w:val="Body Text Indent"/>
    <w:basedOn w:val="Normal"/>
    <w:link w:val="BodyTextIndentChar"/>
    <w:uiPriority w:val="99"/>
    <w:rsid w:val="006D4FBC"/>
    <w:pPr>
      <w:ind w:firstLineChars="200" w:firstLine="560"/>
    </w:pPr>
    <w:rPr>
      <w:sz w:val="28"/>
      <w:szCs w:val="28"/>
    </w:rPr>
  </w:style>
  <w:style w:type="character" w:customStyle="1" w:styleId="BodyTextIndentChar">
    <w:name w:val="Body Text Indent Char"/>
    <w:basedOn w:val="DefaultParagraphFont"/>
    <w:link w:val="BodyTextIndent"/>
    <w:uiPriority w:val="99"/>
    <w:locked/>
    <w:rsid w:val="006D4FBC"/>
    <w:rPr>
      <w:rFonts w:ascii="Times New Roman" w:eastAsia="宋体" w:hAnsi="Times New Roman" w:cs="Times New Roman"/>
      <w:sz w:val="28"/>
      <w:szCs w:val="28"/>
    </w:rPr>
  </w:style>
  <w:style w:type="paragraph" w:styleId="FootnoteText">
    <w:name w:val="footnote text"/>
    <w:basedOn w:val="Normal"/>
    <w:link w:val="FootnoteTextChar"/>
    <w:uiPriority w:val="99"/>
    <w:semiHidden/>
    <w:rsid w:val="00555974"/>
    <w:pPr>
      <w:snapToGrid w:val="0"/>
      <w:jc w:val="left"/>
    </w:pPr>
    <w:rPr>
      <w:sz w:val="18"/>
      <w:szCs w:val="18"/>
    </w:rPr>
  </w:style>
  <w:style w:type="character" w:customStyle="1" w:styleId="FootnoteTextChar">
    <w:name w:val="Footnote Text Char"/>
    <w:basedOn w:val="DefaultParagraphFont"/>
    <w:link w:val="FootnoteText"/>
    <w:uiPriority w:val="99"/>
    <w:semiHidden/>
    <w:locked/>
    <w:rsid w:val="00555974"/>
    <w:rPr>
      <w:rFonts w:ascii="Times New Roman" w:eastAsia="宋体" w:hAnsi="Times New Roman" w:cs="Times New Roman"/>
      <w:sz w:val="18"/>
      <w:szCs w:val="18"/>
    </w:rPr>
  </w:style>
  <w:style w:type="character" w:styleId="FootnoteReference">
    <w:name w:val="footnote reference"/>
    <w:basedOn w:val="DefaultParagraphFont"/>
    <w:uiPriority w:val="99"/>
    <w:rsid w:val="001026E1"/>
    <w:rPr>
      <w:rFonts w:ascii="仿宋_GB2312" w:eastAsia="仿宋_GB2312" w:cs="Times New Roman"/>
      <w:sz w:val="32"/>
      <w:szCs w:val="32"/>
      <w:vertAlign w:val="superscript"/>
    </w:rPr>
  </w:style>
  <w:style w:type="paragraph" w:styleId="BalloonText">
    <w:name w:val="Balloon Text"/>
    <w:basedOn w:val="Normal"/>
    <w:link w:val="BalloonTextChar"/>
    <w:uiPriority w:val="99"/>
    <w:semiHidden/>
    <w:rsid w:val="00D747F2"/>
    <w:rPr>
      <w:sz w:val="18"/>
      <w:szCs w:val="18"/>
    </w:rPr>
  </w:style>
  <w:style w:type="character" w:customStyle="1" w:styleId="BalloonTextChar">
    <w:name w:val="Balloon Text Char"/>
    <w:basedOn w:val="DefaultParagraphFont"/>
    <w:link w:val="BalloonText"/>
    <w:uiPriority w:val="99"/>
    <w:semiHidden/>
    <w:locked/>
    <w:rsid w:val="00D747F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3161791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329</TotalTime>
  <Pages>11</Pages>
  <Words>933</Words>
  <Characters>5321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王鲁豫</cp:lastModifiedBy>
  <cp:revision>28</cp:revision>
  <dcterms:created xsi:type="dcterms:W3CDTF">2016-04-07T05:40:00Z</dcterms:created>
  <dcterms:modified xsi:type="dcterms:W3CDTF">2016-04-25T01:28:00Z</dcterms:modified>
</cp:coreProperties>
</file>